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82" w:rsidRDefault="008C4A82" w:rsidP="00A46993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:rsidR="00A46993" w:rsidRPr="00A46993" w:rsidRDefault="00C83805" w:rsidP="00A46993">
      <w:pPr>
        <w:pStyle w:val="Sansinterligne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</w:t>
      </w:r>
      <w:r w:rsidR="00A46993" w:rsidRPr="00A46993">
        <w:rPr>
          <w:rFonts w:ascii="Times New Roman" w:hAnsi="Times New Roman"/>
          <w:b/>
          <w:sz w:val="24"/>
          <w:szCs w:val="24"/>
        </w:rPr>
        <w:t>videntialité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et modes </w:t>
      </w:r>
      <w:r w:rsidR="00210037">
        <w:rPr>
          <w:rFonts w:ascii="Times New Roman" w:hAnsi="Times New Roman"/>
          <w:b/>
          <w:sz w:val="24"/>
          <w:szCs w:val="24"/>
        </w:rPr>
        <w:t xml:space="preserve">du processus </w:t>
      </w:r>
      <w:r>
        <w:rPr>
          <w:rFonts w:ascii="Times New Roman" w:hAnsi="Times New Roman"/>
          <w:b/>
          <w:sz w:val="24"/>
          <w:szCs w:val="24"/>
        </w:rPr>
        <w:t>de validation</w:t>
      </w:r>
    </w:p>
    <w:p w:rsidR="00A46993" w:rsidRDefault="008B6EB8" w:rsidP="008B6EB8">
      <w:pPr>
        <w:pStyle w:val="Sansinterligne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Jean ALBRESPIT &amp; Henri PORTINE</w:t>
      </w:r>
    </w:p>
    <w:p w:rsidR="008B6EB8" w:rsidRDefault="008B6EB8" w:rsidP="008B6EB8">
      <w:pPr>
        <w:pStyle w:val="Sansinterligne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Université Bordeaux Montaigne</w:t>
      </w:r>
    </w:p>
    <w:p w:rsidR="008B6EB8" w:rsidRDefault="008B6EB8" w:rsidP="00A46993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:rsidR="00A46993" w:rsidRDefault="00A46993" w:rsidP="00A46993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:rsidR="00C83805" w:rsidRDefault="0064179F" w:rsidP="00A46993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Partant</w:t>
      </w:r>
      <w:r w:rsidR="00E66B5C">
        <w:rPr>
          <w:rFonts w:ascii="Times New Roman" w:hAnsi="Times New Roman"/>
          <w:sz w:val="24"/>
          <w:szCs w:val="24"/>
        </w:rPr>
        <w:t xml:space="preserve"> de travaux </w:t>
      </w:r>
      <w:r w:rsidR="00B82C59">
        <w:rPr>
          <w:rFonts w:ascii="Times New Roman" w:hAnsi="Times New Roman"/>
          <w:sz w:val="24"/>
          <w:szCs w:val="24"/>
        </w:rPr>
        <w:t xml:space="preserve">que nous avons </w:t>
      </w:r>
      <w:r w:rsidR="00E66B5C">
        <w:rPr>
          <w:rFonts w:ascii="Times New Roman" w:hAnsi="Times New Roman"/>
          <w:sz w:val="24"/>
          <w:szCs w:val="24"/>
        </w:rPr>
        <w:t>publiés</w:t>
      </w:r>
      <w:r w:rsidR="00CF7DC9">
        <w:rPr>
          <w:rFonts w:ascii="Times New Roman" w:hAnsi="Times New Roman"/>
          <w:sz w:val="24"/>
          <w:szCs w:val="24"/>
        </w:rPr>
        <w:t xml:space="preserve"> </w:t>
      </w:r>
      <w:r w:rsidR="00B82C59">
        <w:rPr>
          <w:rFonts w:ascii="Times New Roman" w:hAnsi="Times New Roman"/>
          <w:sz w:val="24"/>
          <w:szCs w:val="24"/>
        </w:rPr>
        <w:t xml:space="preserve">(nous sommes deux auteurs) </w:t>
      </w:r>
      <w:r w:rsidR="004279E3">
        <w:rPr>
          <w:rFonts w:ascii="Times New Roman" w:hAnsi="Times New Roman"/>
          <w:sz w:val="24"/>
          <w:szCs w:val="24"/>
        </w:rPr>
        <w:t>sur la catégorie TAM, puis</w:t>
      </w:r>
      <w:r w:rsidR="00E95D2E">
        <w:rPr>
          <w:rFonts w:ascii="Times New Roman" w:hAnsi="Times New Roman"/>
          <w:sz w:val="24"/>
          <w:szCs w:val="24"/>
        </w:rPr>
        <w:t xml:space="preserve"> sur</w:t>
      </w:r>
      <w:r w:rsidR="00E66B5C">
        <w:rPr>
          <w:rFonts w:ascii="Times New Roman" w:hAnsi="Times New Roman"/>
          <w:sz w:val="24"/>
          <w:szCs w:val="24"/>
        </w:rPr>
        <w:t xml:space="preserve"> </w:t>
      </w:r>
      <w:r w:rsidR="00E95D2E">
        <w:rPr>
          <w:rFonts w:ascii="Times New Roman" w:hAnsi="Times New Roman"/>
          <w:sz w:val="24"/>
          <w:szCs w:val="24"/>
        </w:rPr>
        <w:t xml:space="preserve">le </w:t>
      </w:r>
      <w:r w:rsidR="00E95D2E">
        <w:rPr>
          <w:rFonts w:ascii="Times New Roman" w:hAnsi="Times New Roman"/>
          <w:sz w:val="24"/>
          <w:szCs w:val="24"/>
        </w:rPr>
        <w:t xml:space="preserve">degré de validation </w:t>
      </w:r>
      <w:r w:rsidR="00E95D2E">
        <w:rPr>
          <w:rFonts w:ascii="Times New Roman" w:hAnsi="Times New Roman"/>
          <w:sz w:val="24"/>
          <w:szCs w:val="24"/>
        </w:rPr>
        <w:t>(</w:t>
      </w:r>
      <w:r w:rsidR="00E95D2E">
        <w:rPr>
          <w:rFonts w:ascii="Times New Roman" w:hAnsi="Times New Roman"/>
          <w:sz w:val="24"/>
          <w:szCs w:val="24"/>
        </w:rPr>
        <w:t xml:space="preserve">validé, </w:t>
      </w:r>
      <w:proofErr w:type="spellStart"/>
      <w:r w:rsidR="00E95D2E">
        <w:rPr>
          <w:rFonts w:ascii="Times New Roman" w:hAnsi="Times New Roman"/>
          <w:sz w:val="24"/>
          <w:szCs w:val="24"/>
        </w:rPr>
        <w:t>validable</w:t>
      </w:r>
      <w:proofErr w:type="spellEnd"/>
      <w:r w:rsidR="00E95D2E">
        <w:rPr>
          <w:rFonts w:ascii="Times New Roman" w:hAnsi="Times New Roman"/>
          <w:sz w:val="24"/>
          <w:szCs w:val="24"/>
        </w:rPr>
        <w:t>, etc.)</w:t>
      </w:r>
      <w:r w:rsidR="007E0F04">
        <w:rPr>
          <w:rFonts w:ascii="Times New Roman" w:hAnsi="Times New Roman"/>
          <w:sz w:val="24"/>
          <w:szCs w:val="24"/>
        </w:rPr>
        <w:t xml:space="preserve"> dans le rapport</w:t>
      </w:r>
      <w:r w:rsidR="00E66B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modalité épistémique</w:t>
      </w:r>
      <w:r w:rsidR="002C0C31">
        <w:rPr>
          <w:rFonts w:ascii="Times New Roman" w:hAnsi="Times New Roman"/>
          <w:sz w:val="24"/>
          <w:szCs w:val="24"/>
        </w:rPr>
        <w:t xml:space="preserve"> </w:t>
      </w:r>
      <w:r w:rsidR="00E66B5C">
        <w:rPr>
          <w:rFonts w:ascii="Times New Roman" w:hAnsi="Times New Roman"/>
          <w:sz w:val="24"/>
          <w:szCs w:val="24"/>
        </w:rPr>
        <w:t>et</w:t>
      </w:r>
      <w:r w:rsidR="00C83805">
        <w:rPr>
          <w:rFonts w:ascii="Times New Roman" w:hAnsi="Times New Roman"/>
          <w:sz w:val="24"/>
          <w:szCs w:val="24"/>
        </w:rPr>
        <w:t xml:space="preserve"> conditionnel (français)</w:t>
      </w:r>
      <w:r w:rsidR="002C0C31">
        <w:rPr>
          <w:rFonts w:ascii="Times New Roman" w:hAnsi="Times New Roman"/>
          <w:sz w:val="24"/>
          <w:szCs w:val="24"/>
        </w:rPr>
        <w:t xml:space="preserve"> /</w:t>
      </w:r>
      <w:r w:rsidR="00E66B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modalité épistémique </w:t>
      </w:r>
      <w:r w:rsidR="00E66B5C">
        <w:rPr>
          <w:rFonts w:ascii="Times New Roman" w:hAnsi="Times New Roman"/>
          <w:sz w:val="24"/>
          <w:szCs w:val="24"/>
        </w:rPr>
        <w:t>et</w:t>
      </w:r>
      <w:r w:rsidR="00CF7DC9">
        <w:rPr>
          <w:rFonts w:ascii="Times New Roman" w:hAnsi="Times New Roman"/>
          <w:sz w:val="24"/>
          <w:szCs w:val="24"/>
        </w:rPr>
        <w:t xml:space="preserve"> conditionnalité (</w:t>
      </w:r>
      <w:r w:rsidR="00DA551F">
        <w:rPr>
          <w:rFonts w:ascii="Times New Roman" w:hAnsi="Times New Roman"/>
          <w:sz w:val="24"/>
          <w:szCs w:val="24"/>
        </w:rPr>
        <w:t>anglais)</w:t>
      </w:r>
      <w:r w:rsidR="00C83805">
        <w:rPr>
          <w:rFonts w:ascii="Times New Roman" w:hAnsi="Times New Roman"/>
          <w:sz w:val="24"/>
          <w:szCs w:val="24"/>
        </w:rPr>
        <w:t xml:space="preserve">, </w:t>
      </w:r>
      <w:r w:rsidR="00B82C59">
        <w:rPr>
          <w:rFonts w:ascii="Times New Roman" w:hAnsi="Times New Roman"/>
          <w:sz w:val="24"/>
          <w:szCs w:val="24"/>
        </w:rPr>
        <w:t>nous</w:t>
      </w:r>
      <w:r w:rsidR="0015258D">
        <w:rPr>
          <w:rFonts w:ascii="Times New Roman" w:hAnsi="Times New Roman"/>
          <w:sz w:val="24"/>
          <w:szCs w:val="24"/>
        </w:rPr>
        <w:t xml:space="preserve"> avons</w:t>
      </w:r>
      <w:r w:rsidR="008A7ACB">
        <w:rPr>
          <w:rFonts w:ascii="Times New Roman" w:hAnsi="Times New Roman"/>
          <w:sz w:val="24"/>
          <w:szCs w:val="24"/>
        </w:rPr>
        <w:t xml:space="preserve"> rencontré des faits linguistiques touchant au mode de validation et comparables aux </w:t>
      </w:r>
      <w:proofErr w:type="spellStart"/>
      <w:r w:rsidR="008A7ACB" w:rsidRPr="00EB2312">
        <w:rPr>
          <w:rFonts w:ascii="Times New Roman" w:hAnsi="Times New Roman"/>
          <w:i/>
          <w:sz w:val="24"/>
          <w:szCs w:val="24"/>
        </w:rPr>
        <w:t>évidentiels</w:t>
      </w:r>
      <w:proofErr w:type="spellEnd"/>
      <w:r w:rsidR="00CF7DC9">
        <w:rPr>
          <w:rFonts w:ascii="Times New Roman" w:hAnsi="Times New Roman"/>
          <w:sz w:val="24"/>
          <w:szCs w:val="24"/>
        </w:rPr>
        <w:t xml:space="preserve"> (</w:t>
      </w:r>
      <w:r w:rsidR="00B82C59">
        <w:rPr>
          <w:rFonts w:ascii="Times New Roman" w:hAnsi="Times New Roman"/>
          <w:sz w:val="24"/>
          <w:szCs w:val="24"/>
        </w:rPr>
        <w:t xml:space="preserve">cf. </w:t>
      </w:r>
      <w:proofErr w:type="spellStart"/>
      <w:r w:rsidR="008A7ACB">
        <w:rPr>
          <w:rFonts w:ascii="Times New Roman" w:hAnsi="Times New Roman"/>
          <w:sz w:val="24"/>
          <w:szCs w:val="24"/>
        </w:rPr>
        <w:t>D</w:t>
      </w:r>
      <w:r w:rsidR="00B804E3">
        <w:rPr>
          <w:rFonts w:ascii="Times New Roman" w:hAnsi="Times New Roman"/>
          <w:sz w:val="24"/>
          <w:szCs w:val="24"/>
        </w:rPr>
        <w:t>endale</w:t>
      </w:r>
      <w:proofErr w:type="spellEnd"/>
      <w:r w:rsidR="00B804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804E3">
        <w:rPr>
          <w:rFonts w:ascii="Times New Roman" w:hAnsi="Times New Roman"/>
          <w:sz w:val="24"/>
          <w:szCs w:val="24"/>
        </w:rPr>
        <w:t>Tasmowski</w:t>
      </w:r>
      <w:proofErr w:type="spellEnd"/>
      <w:r w:rsidR="008A7ACB">
        <w:rPr>
          <w:rFonts w:ascii="Times New Roman" w:hAnsi="Times New Roman"/>
          <w:sz w:val="24"/>
          <w:szCs w:val="24"/>
        </w:rPr>
        <w:t xml:space="preserve">) et/ou aux </w:t>
      </w:r>
      <w:proofErr w:type="spellStart"/>
      <w:r w:rsidR="008A7ACB" w:rsidRPr="00EB2312">
        <w:rPr>
          <w:rFonts w:ascii="Times New Roman" w:hAnsi="Times New Roman"/>
          <w:i/>
          <w:sz w:val="24"/>
          <w:szCs w:val="24"/>
        </w:rPr>
        <w:t>médiatifs</w:t>
      </w:r>
      <w:proofErr w:type="spellEnd"/>
      <w:r w:rsidR="00CF7DC9">
        <w:rPr>
          <w:rFonts w:ascii="Times New Roman" w:hAnsi="Times New Roman"/>
          <w:sz w:val="24"/>
          <w:szCs w:val="24"/>
        </w:rPr>
        <w:t xml:space="preserve"> (</w:t>
      </w:r>
      <w:r w:rsidR="00B82C59">
        <w:rPr>
          <w:rFonts w:ascii="Times New Roman" w:hAnsi="Times New Roman"/>
          <w:sz w:val="24"/>
          <w:szCs w:val="24"/>
        </w:rPr>
        <w:t xml:space="preserve">cf. </w:t>
      </w:r>
      <w:proofErr w:type="spellStart"/>
      <w:r w:rsidR="00B804E3">
        <w:rPr>
          <w:rFonts w:ascii="Times New Roman" w:hAnsi="Times New Roman"/>
          <w:sz w:val="24"/>
          <w:szCs w:val="24"/>
        </w:rPr>
        <w:t>Guentchéva</w:t>
      </w:r>
      <w:proofErr w:type="spellEnd"/>
      <w:r w:rsidR="00EB2312">
        <w:rPr>
          <w:rFonts w:ascii="Times New Roman" w:hAnsi="Times New Roman"/>
          <w:sz w:val="24"/>
          <w:szCs w:val="24"/>
        </w:rPr>
        <w:t>).</w:t>
      </w:r>
      <w:r w:rsidR="0015258D">
        <w:rPr>
          <w:rFonts w:ascii="Times New Roman" w:hAnsi="Times New Roman"/>
          <w:sz w:val="24"/>
          <w:szCs w:val="24"/>
        </w:rPr>
        <w:t xml:space="preserve"> Nous avons</w:t>
      </w:r>
      <w:r w:rsidR="007E0F04">
        <w:rPr>
          <w:rFonts w:ascii="Times New Roman" w:hAnsi="Times New Roman"/>
          <w:sz w:val="24"/>
          <w:szCs w:val="24"/>
        </w:rPr>
        <w:t xml:space="preserve"> alors</w:t>
      </w:r>
      <w:r w:rsidR="00EB2312">
        <w:rPr>
          <w:rFonts w:ascii="Times New Roman" w:hAnsi="Times New Roman"/>
          <w:sz w:val="24"/>
          <w:szCs w:val="24"/>
        </w:rPr>
        <w:t xml:space="preserve"> été frappés par le fait que la discussion de l’</w:t>
      </w:r>
      <w:proofErr w:type="spellStart"/>
      <w:r w:rsidR="007E0F04">
        <w:rPr>
          <w:rFonts w:ascii="Times New Roman" w:hAnsi="Times New Roman"/>
          <w:sz w:val="24"/>
          <w:szCs w:val="24"/>
        </w:rPr>
        <w:t>évidentialité</w:t>
      </w:r>
      <w:proofErr w:type="spellEnd"/>
      <w:r>
        <w:rPr>
          <w:rFonts w:ascii="Times New Roman" w:hAnsi="Times New Roman"/>
          <w:sz w:val="24"/>
          <w:szCs w:val="24"/>
        </w:rPr>
        <w:t xml:space="preserve"> ne prenai</w:t>
      </w:r>
      <w:r w:rsidR="00EB2312">
        <w:rPr>
          <w:rFonts w:ascii="Times New Roman" w:hAnsi="Times New Roman"/>
          <w:sz w:val="24"/>
          <w:szCs w:val="24"/>
        </w:rPr>
        <w:t xml:space="preserve">t pas (ou fort peu) en compte le processus </w:t>
      </w:r>
      <w:proofErr w:type="spellStart"/>
      <w:r w:rsidR="00B02698">
        <w:rPr>
          <w:rFonts w:ascii="Times New Roman" w:hAnsi="Times New Roman"/>
          <w:sz w:val="24"/>
          <w:szCs w:val="24"/>
        </w:rPr>
        <w:t>énonciativo</w:t>
      </w:r>
      <w:proofErr w:type="spellEnd"/>
      <w:r w:rsidR="00B02698">
        <w:rPr>
          <w:rFonts w:ascii="Times New Roman" w:hAnsi="Times New Roman"/>
          <w:sz w:val="24"/>
          <w:szCs w:val="24"/>
        </w:rPr>
        <w:t xml:space="preserve">-cognitif </w:t>
      </w:r>
      <w:r w:rsidR="00EB2312">
        <w:rPr>
          <w:rFonts w:ascii="Times New Roman" w:hAnsi="Times New Roman"/>
          <w:sz w:val="24"/>
          <w:szCs w:val="24"/>
        </w:rPr>
        <w:t>de validation (</w:t>
      </w:r>
      <w:r w:rsidR="00B02698">
        <w:rPr>
          <w:rFonts w:ascii="Times New Roman" w:hAnsi="Times New Roman"/>
          <w:sz w:val="24"/>
          <w:szCs w:val="24"/>
        </w:rPr>
        <w:t>à d</w:t>
      </w:r>
      <w:r w:rsidR="00CF7DC9">
        <w:rPr>
          <w:rFonts w:ascii="Times New Roman" w:hAnsi="Times New Roman"/>
          <w:sz w:val="24"/>
          <w:szCs w:val="24"/>
        </w:rPr>
        <w:t xml:space="preserve">istinguer </w:t>
      </w:r>
      <w:r w:rsidR="00B02698">
        <w:rPr>
          <w:rFonts w:ascii="Times New Roman" w:hAnsi="Times New Roman"/>
          <w:sz w:val="24"/>
          <w:szCs w:val="24"/>
        </w:rPr>
        <w:t xml:space="preserve">de la </w:t>
      </w:r>
      <w:proofErr w:type="spellStart"/>
      <w:r w:rsidR="00B02698">
        <w:rPr>
          <w:rFonts w:ascii="Times New Roman" w:hAnsi="Times New Roman"/>
          <w:sz w:val="24"/>
          <w:szCs w:val="24"/>
        </w:rPr>
        <w:t>vériconditionnalité</w:t>
      </w:r>
      <w:proofErr w:type="spellEnd"/>
      <w:r w:rsidR="00B02698">
        <w:rPr>
          <w:rFonts w:ascii="Times New Roman" w:hAnsi="Times New Roman"/>
          <w:sz w:val="24"/>
          <w:szCs w:val="24"/>
        </w:rPr>
        <w:t>).</w:t>
      </w:r>
    </w:p>
    <w:p w:rsidR="00EB2312" w:rsidRDefault="001832DD" w:rsidP="00B82C59">
      <w:pPr>
        <w:pStyle w:val="Sansinterligne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Notre cadre théorique s’inspire des pré-</w:t>
      </w:r>
      <w:proofErr w:type="spellStart"/>
      <w:r>
        <w:rPr>
          <w:rFonts w:ascii="Times New Roman" w:hAnsi="Times New Roman"/>
          <w:sz w:val="24"/>
          <w:szCs w:val="24"/>
        </w:rPr>
        <w:t>énonciativistes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Damourette</w:t>
      </w:r>
      <w:proofErr w:type="spellEnd"/>
      <w:r>
        <w:rPr>
          <w:rFonts w:ascii="Times New Roman" w:hAnsi="Times New Roman"/>
          <w:sz w:val="24"/>
          <w:szCs w:val="24"/>
        </w:rPr>
        <w:t xml:space="preserve"> et Pichon, Guillaume) et des linguistes de l’énonciation (</w:t>
      </w:r>
      <w:proofErr w:type="spellStart"/>
      <w:r>
        <w:rPr>
          <w:rFonts w:ascii="Times New Roman" w:hAnsi="Times New Roman"/>
          <w:sz w:val="24"/>
          <w:szCs w:val="24"/>
        </w:rPr>
        <w:t>Culioli</w:t>
      </w:r>
      <w:proofErr w:type="spellEnd"/>
      <w:r>
        <w:rPr>
          <w:rFonts w:ascii="Times New Roman" w:hAnsi="Times New Roman"/>
          <w:sz w:val="24"/>
          <w:szCs w:val="24"/>
        </w:rPr>
        <w:t>, Ducrot) mais aussi de</w:t>
      </w:r>
      <w:r w:rsidR="00B1189F">
        <w:rPr>
          <w:rFonts w:ascii="Times New Roman" w:hAnsi="Times New Roman"/>
          <w:sz w:val="24"/>
          <w:szCs w:val="24"/>
        </w:rPr>
        <w:t xml:space="preserve">s cognitivistes </w:t>
      </w:r>
      <w:r>
        <w:rPr>
          <w:rFonts w:ascii="Times New Roman" w:hAnsi="Times New Roman"/>
          <w:sz w:val="24"/>
          <w:szCs w:val="24"/>
        </w:rPr>
        <w:t>qui travaillent sur les espaces mentaux</w:t>
      </w:r>
      <w:r w:rsidR="00B1189F">
        <w:rPr>
          <w:rFonts w:ascii="Times New Roman" w:hAnsi="Times New Roman"/>
          <w:sz w:val="24"/>
          <w:szCs w:val="24"/>
        </w:rPr>
        <w:t xml:space="preserve"> (Fauconnier, </w:t>
      </w:r>
      <w:proofErr w:type="spellStart"/>
      <w:r w:rsidR="00B1189F">
        <w:rPr>
          <w:rFonts w:ascii="Times New Roman" w:hAnsi="Times New Roman"/>
          <w:sz w:val="24"/>
          <w:szCs w:val="24"/>
        </w:rPr>
        <w:t>Dancygier</w:t>
      </w:r>
      <w:proofErr w:type="spellEnd"/>
      <w:r w:rsidR="00B118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1189F">
        <w:rPr>
          <w:rFonts w:ascii="Times New Roman" w:hAnsi="Times New Roman"/>
          <w:sz w:val="24"/>
          <w:szCs w:val="24"/>
        </w:rPr>
        <w:t>Sweetser</w:t>
      </w:r>
      <w:proofErr w:type="spellEnd"/>
      <w:r>
        <w:rPr>
          <w:rFonts w:ascii="Times New Roman" w:hAnsi="Times New Roman"/>
          <w:sz w:val="24"/>
          <w:szCs w:val="24"/>
        </w:rPr>
        <w:t>). La cohérence totale de ces différents courants n’étant pas avérée</w:t>
      </w:r>
      <w:r w:rsidR="005730EE">
        <w:rPr>
          <w:rFonts w:ascii="Times New Roman" w:hAnsi="Times New Roman"/>
          <w:sz w:val="24"/>
          <w:szCs w:val="24"/>
        </w:rPr>
        <w:t xml:space="preserve"> et la terminologie plurielle (</w:t>
      </w:r>
      <w:r w:rsidR="0002794C">
        <w:rPr>
          <w:rFonts w:ascii="Times New Roman" w:hAnsi="Times New Roman"/>
          <w:sz w:val="24"/>
          <w:szCs w:val="24"/>
        </w:rPr>
        <w:t xml:space="preserve">entre autres </w:t>
      </w:r>
      <w:proofErr w:type="spellStart"/>
      <w:r w:rsidR="00B804E3">
        <w:rPr>
          <w:rFonts w:ascii="Times New Roman" w:hAnsi="Times New Roman"/>
          <w:sz w:val="24"/>
          <w:szCs w:val="24"/>
        </w:rPr>
        <w:t>Coltier</w:t>
      </w:r>
      <w:proofErr w:type="spellEnd"/>
      <w:r w:rsidR="00B804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804E3">
        <w:rPr>
          <w:rFonts w:ascii="Times New Roman" w:hAnsi="Times New Roman"/>
          <w:sz w:val="24"/>
          <w:szCs w:val="24"/>
        </w:rPr>
        <w:t>Dendale</w:t>
      </w:r>
      <w:proofErr w:type="spellEnd"/>
      <w:r w:rsidR="00B804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804E3">
        <w:rPr>
          <w:rFonts w:ascii="Times New Roman" w:hAnsi="Times New Roman"/>
          <w:sz w:val="24"/>
          <w:szCs w:val="24"/>
        </w:rPr>
        <w:t>Brabanter</w:t>
      </w:r>
      <w:proofErr w:type="spellEnd"/>
      <w:r w:rsidR="005730E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nous</w:t>
      </w:r>
      <w:r w:rsidR="0002794C">
        <w:rPr>
          <w:rFonts w:ascii="Times New Roman" w:hAnsi="Times New Roman"/>
          <w:sz w:val="24"/>
          <w:szCs w:val="24"/>
        </w:rPr>
        <w:t xml:space="preserve"> veillons particulièrement à </w:t>
      </w:r>
      <w:r>
        <w:rPr>
          <w:rFonts w:ascii="Times New Roman" w:hAnsi="Times New Roman"/>
          <w:sz w:val="24"/>
          <w:szCs w:val="24"/>
        </w:rPr>
        <w:t>reconstruire</w:t>
      </w:r>
      <w:r w:rsidR="0002794C">
        <w:rPr>
          <w:rFonts w:ascii="Times New Roman" w:hAnsi="Times New Roman"/>
          <w:sz w:val="24"/>
          <w:szCs w:val="24"/>
        </w:rPr>
        <w:t xml:space="preserve"> la cohérence et à préciser la terminologie</w:t>
      </w:r>
      <w:r>
        <w:rPr>
          <w:rFonts w:ascii="Times New Roman" w:hAnsi="Times New Roman"/>
          <w:sz w:val="24"/>
          <w:szCs w:val="24"/>
        </w:rPr>
        <w:t xml:space="preserve">. Nos corpus sont principalement journalistiques : </w:t>
      </w:r>
      <w:r w:rsidRPr="000F4816">
        <w:rPr>
          <w:rFonts w:ascii="Times New Roman" w:hAnsi="Times New Roman"/>
          <w:i/>
          <w:sz w:val="24"/>
          <w:szCs w:val="24"/>
        </w:rPr>
        <w:t>Times</w:t>
      </w:r>
      <w:r>
        <w:rPr>
          <w:rFonts w:ascii="Times New Roman" w:hAnsi="Times New Roman"/>
          <w:sz w:val="24"/>
          <w:szCs w:val="24"/>
        </w:rPr>
        <w:t xml:space="preserve"> et </w:t>
      </w:r>
      <w:r w:rsidRPr="000F4816">
        <w:rPr>
          <w:rFonts w:ascii="Times New Roman" w:hAnsi="Times New Roman"/>
          <w:i/>
          <w:sz w:val="24"/>
          <w:szCs w:val="24"/>
        </w:rPr>
        <w:t>Guardian</w:t>
      </w:r>
      <w:r>
        <w:rPr>
          <w:rFonts w:ascii="Times New Roman" w:hAnsi="Times New Roman"/>
          <w:sz w:val="24"/>
          <w:szCs w:val="24"/>
        </w:rPr>
        <w:t xml:space="preserve"> pour l’anglais, </w:t>
      </w:r>
      <w:r w:rsidR="0015258D" w:rsidRPr="000F4816">
        <w:rPr>
          <w:rFonts w:ascii="Times New Roman" w:hAnsi="Times New Roman"/>
          <w:i/>
          <w:sz w:val="24"/>
          <w:szCs w:val="24"/>
        </w:rPr>
        <w:t>Monde</w:t>
      </w:r>
      <w:r w:rsidR="0015258D">
        <w:rPr>
          <w:rFonts w:ascii="Times New Roman" w:hAnsi="Times New Roman"/>
          <w:sz w:val="24"/>
          <w:szCs w:val="24"/>
        </w:rPr>
        <w:t xml:space="preserve"> et </w:t>
      </w:r>
      <w:r w:rsidR="0015258D" w:rsidRPr="000F4816">
        <w:rPr>
          <w:rFonts w:ascii="Times New Roman" w:hAnsi="Times New Roman"/>
          <w:i/>
          <w:sz w:val="24"/>
          <w:szCs w:val="24"/>
        </w:rPr>
        <w:t>Figaro</w:t>
      </w:r>
      <w:r w:rsidR="0015258D">
        <w:rPr>
          <w:rFonts w:ascii="Times New Roman" w:hAnsi="Times New Roman"/>
          <w:sz w:val="24"/>
          <w:szCs w:val="24"/>
        </w:rPr>
        <w:t xml:space="preserve"> pour le français, avec des ajouts issus de corpus écrits ou oraux.</w:t>
      </w:r>
    </w:p>
    <w:p w:rsidR="009E5370" w:rsidRDefault="00CF7DC9" w:rsidP="0044061A">
      <w:pPr>
        <w:pStyle w:val="Sansinterligne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Nous avons distingué</w:t>
      </w:r>
      <w:r w:rsidR="00985ADE">
        <w:rPr>
          <w:rFonts w:ascii="Times New Roman" w:hAnsi="Times New Roman"/>
          <w:sz w:val="24"/>
          <w:szCs w:val="24"/>
        </w:rPr>
        <w:t xml:space="preserve"> quatre modes d’assertion (sous-catégorie des modes de validation) : a</w:t>
      </w:r>
      <w:r w:rsidR="0033573B">
        <w:rPr>
          <w:rFonts w:ascii="Times New Roman" w:hAnsi="Times New Roman"/>
          <w:sz w:val="24"/>
          <w:szCs w:val="24"/>
        </w:rPr>
        <w:t>ssumée, déléguée</w:t>
      </w:r>
      <w:r w:rsidR="00985ADE">
        <w:rPr>
          <w:rFonts w:ascii="Times New Roman" w:hAnsi="Times New Roman"/>
          <w:sz w:val="24"/>
          <w:szCs w:val="24"/>
        </w:rPr>
        <w:t xml:space="preserve"> (discours rapporté)</w:t>
      </w:r>
      <w:r w:rsidR="0033573B">
        <w:rPr>
          <w:rFonts w:ascii="Times New Roman" w:hAnsi="Times New Roman"/>
          <w:sz w:val="24"/>
          <w:szCs w:val="24"/>
        </w:rPr>
        <w:t>, différée</w:t>
      </w:r>
      <w:r w:rsidR="00467247">
        <w:rPr>
          <w:rFonts w:ascii="Times New Roman" w:hAnsi="Times New Roman"/>
          <w:sz w:val="24"/>
          <w:szCs w:val="24"/>
        </w:rPr>
        <w:t xml:space="preserve"> (</w:t>
      </w:r>
      <w:r w:rsidR="00985ADE">
        <w:rPr>
          <w:rFonts w:ascii="Times New Roman" w:hAnsi="Times New Roman"/>
          <w:sz w:val="24"/>
          <w:szCs w:val="24"/>
        </w:rPr>
        <w:t>en attente)</w:t>
      </w:r>
      <w:r w:rsidR="0033573B">
        <w:rPr>
          <w:rFonts w:ascii="Times New Roman" w:hAnsi="Times New Roman"/>
          <w:sz w:val="24"/>
          <w:szCs w:val="24"/>
        </w:rPr>
        <w:t>, inférée</w:t>
      </w:r>
      <w:r w:rsidR="00467247">
        <w:rPr>
          <w:rFonts w:ascii="Times New Roman" w:hAnsi="Times New Roman"/>
          <w:sz w:val="24"/>
          <w:szCs w:val="24"/>
        </w:rPr>
        <w:t xml:space="preserve"> (le sujet de la présente proposition de communication).</w:t>
      </w:r>
      <w:r w:rsidR="002046DD">
        <w:rPr>
          <w:rFonts w:ascii="Times New Roman" w:hAnsi="Times New Roman"/>
          <w:sz w:val="24"/>
          <w:szCs w:val="24"/>
        </w:rPr>
        <w:t xml:space="preserve"> Toute inférence suppose un point d’appui, un point d’arrivée (l’élément interprété grâce à l’inférence) et une relation (ce qui est inféré). </w:t>
      </w:r>
      <w:r w:rsidR="00B83C7E">
        <w:rPr>
          <w:rFonts w:ascii="Times New Roman" w:hAnsi="Times New Roman"/>
          <w:sz w:val="24"/>
          <w:szCs w:val="24"/>
        </w:rPr>
        <w:t xml:space="preserve">Nous verrons comment </w:t>
      </w:r>
      <w:r w:rsidR="00AF3F5A">
        <w:rPr>
          <w:rFonts w:ascii="Times New Roman" w:hAnsi="Times New Roman"/>
          <w:sz w:val="24"/>
          <w:szCs w:val="24"/>
        </w:rPr>
        <w:t>le français et l’anglais permettent</w:t>
      </w:r>
      <w:r w:rsidR="00B83C7E">
        <w:rPr>
          <w:rFonts w:ascii="Times New Roman" w:hAnsi="Times New Roman"/>
          <w:sz w:val="24"/>
          <w:szCs w:val="24"/>
        </w:rPr>
        <w:t xml:space="preserve"> d’obtenir une assertion rapportée à un sujet «</w:t>
      </w:r>
      <w:r w:rsidR="00507847">
        <w:rPr>
          <w:rFonts w:ascii="Times New Roman" w:hAnsi="Times New Roman"/>
          <w:sz w:val="24"/>
          <w:szCs w:val="24"/>
        </w:rPr>
        <w:t> flou »</w:t>
      </w:r>
      <w:r w:rsidR="00B804E3">
        <w:rPr>
          <w:rFonts w:ascii="Times New Roman" w:hAnsi="Times New Roman"/>
          <w:sz w:val="24"/>
          <w:szCs w:val="24"/>
        </w:rPr>
        <w:t xml:space="preserve"> </w:t>
      </w:r>
      <w:r w:rsidR="00ED5271">
        <w:rPr>
          <w:rFonts w:ascii="Times New Roman" w:hAnsi="Times New Roman"/>
          <w:sz w:val="24"/>
          <w:szCs w:val="24"/>
        </w:rPr>
        <w:t xml:space="preserve">(comparable à une modalité autonymique, </w:t>
      </w:r>
      <w:proofErr w:type="spellStart"/>
      <w:r w:rsidR="00ED5271">
        <w:rPr>
          <w:rFonts w:ascii="Times New Roman" w:hAnsi="Times New Roman"/>
          <w:sz w:val="24"/>
          <w:szCs w:val="24"/>
        </w:rPr>
        <w:t>Authier</w:t>
      </w:r>
      <w:proofErr w:type="spellEnd"/>
      <w:r w:rsidR="00ED5271">
        <w:rPr>
          <w:rFonts w:ascii="Times New Roman" w:hAnsi="Times New Roman"/>
          <w:sz w:val="24"/>
          <w:szCs w:val="24"/>
        </w:rPr>
        <w:t xml:space="preserve">) </w:t>
      </w:r>
      <w:r w:rsidR="00B804E3">
        <w:rPr>
          <w:rFonts w:ascii="Times New Roman" w:hAnsi="Times New Roman"/>
          <w:sz w:val="24"/>
          <w:szCs w:val="24"/>
        </w:rPr>
        <w:t>par des moyens grammaticaux et/ou lexicaux</w:t>
      </w:r>
      <w:r w:rsidR="00F03598">
        <w:rPr>
          <w:rFonts w:ascii="Times New Roman" w:hAnsi="Times New Roman"/>
          <w:sz w:val="24"/>
          <w:szCs w:val="24"/>
        </w:rPr>
        <w:t>, ou encore des corrélations forme / fonction</w:t>
      </w:r>
      <w:r w:rsidR="00B804E3">
        <w:rPr>
          <w:rFonts w:ascii="Times New Roman" w:hAnsi="Times New Roman"/>
          <w:sz w:val="24"/>
          <w:szCs w:val="24"/>
        </w:rPr>
        <w:t xml:space="preserve"> couplés à des inférences.</w:t>
      </w:r>
      <w:r w:rsidR="002C0C31">
        <w:rPr>
          <w:rFonts w:ascii="Times New Roman" w:hAnsi="Times New Roman"/>
          <w:sz w:val="24"/>
          <w:szCs w:val="24"/>
        </w:rPr>
        <w:t xml:space="preserve"> </w:t>
      </w:r>
      <w:r w:rsidR="009E5370">
        <w:rPr>
          <w:rFonts w:ascii="Times New Roman" w:hAnsi="Times New Roman"/>
          <w:sz w:val="24"/>
          <w:szCs w:val="24"/>
        </w:rPr>
        <w:t xml:space="preserve">Ces analyses permettent d’associer </w:t>
      </w:r>
      <w:proofErr w:type="spellStart"/>
      <w:r w:rsidR="009E5370" w:rsidRPr="002C0C31">
        <w:rPr>
          <w:rFonts w:ascii="Times New Roman" w:hAnsi="Times New Roman"/>
          <w:i/>
          <w:sz w:val="24"/>
          <w:szCs w:val="24"/>
        </w:rPr>
        <w:t>évidentialité</w:t>
      </w:r>
      <w:proofErr w:type="spellEnd"/>
      <w:r w:rsidR="002C0C31">
        <w:rPr>
          <w:rFonts w:ascii="Times New Roman" w:hAnsi="Times New Roman"/>
          <w:sz w:val="24"/>
          <w:szCs w:val="24"/>
        </w:rPr>
        <w:t xml:space="preserve"> et stratégie discur</w:t>
      </w:r>
      <w:r w:rsidR="00ED5271">
        <w:rPr>
          <w:rFonts w:ascii="Times New Roman" w:hAnsi="Times New Roman"/>
          <w:sz w:val="24"/>
          <w:szCs w:val="24"/>
        </w:rPr>
        <w:t xml:space="preserve">sive (prolongement de </w:t>
      </w:r>
      <w:proofErr w:type="spellStart"/>
      <w:r w:rsidR="00ED5271">
        <w:rPr>
          <w:rFonts w:ascii="Times New Roman" w:hAnsi="Times New Roman"/>
          <w:sz w:val="24"/>
          <w:szCs w:val="24"/>
        </w:rPr>
        <w:t>Kronning</w:t>
      </w:r>
      <w:proofErr w:type="spellEnd"/>
      <w:r w:rsidR="00ED5271">
        <w:rPr>
          <w:rFonts w:ascii="Times New Roman" w:hAnsi="Times New Roman"/>
          <w:sz w:val="24"/>
          <w:szCs w:val="24"/>
        </w:rPr>
        <w:t>) et s’inscrivent dans une perspective polyphonique</w:t>
      </w:r>
      <w:r w:rsidR="00F03598">
        <w:rPr>
          <w:rFonts w:ascii="Times New Roman" w:hAnsi="Times New Roman"/>
          <w:sz w:val="24"/>
          <w:szCs w:val="24"/>
        </w:rPr>
        <w:t xml:space="preserve"> (cf. </w:t>
      </w:r>
      <w:proofErr w:type="spellStart"/>
      <w:r w:rsidR="00F03598">
        <w:rPr>
          <w:rFonts w:ascii="Times New Roman" w:eastAsia="Times New Roman" w:hAnsi="Times New Roman"/>
          <w:color w:val="000000" w:themeColor="text1"/>
          <w:sz w:val="24"/>
          <w:szCs w:val="24"/>
        </w:rPr>
        <w:t>Birkelund</w:t>
      </w:r>
      <w:proofErr w:type="spellEnd"/>
      <w:r w:rsidR="00F03598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F03598" w:rsidRPr="00F035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03598" w:rsidRPr="00F03598">
        <w:rPr>
          <w:rFonts w:ascii="Times New Roman" w:eastAsia="Times New Roman" w:hAnsi="Times New Roman"/>
          <w:color w:val="000000" w:themeColor="text1"/>
          <w:sz w:val="24"/>
          <w:szCs w:val="24"/>
        </w:rPr>
        <w:t>Nølke</w:t>
      </w:r>
      <w:proofErr w:type="spellEnd"/>
      <w:r w:rsidR="00F03598" w:rsidRPr="00F035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F03598" w:rsidRPr="00F03598">
        <w:rPr>
          <w:rFonts w:ascii="Times New Roman" w:eastAsia="Times New Roman" w:hAnsi="Times New Roman"/>
          <w:color w:val="000000" w:themeColor="text1"/>
          <w:sz w:val="24"/>
          <w:szCs w:val="24"/>
        </w:rPr>
        <w:t>Therkelsen</w:t>
      </w:r>
      <w:proofErr w:type="spellEnd"/>
      <w:r w:rsidR="00F03598">
        <w:rPr>
          <w:rFonts w:ascii="Times New Roman" w:eastAsia="Times New Roman" w:hAnsi="Times New Roman"/>
          <w:color w:val="000000" w:themeColor="text1"/>
          <w:sz w:val="24"/>
          <w:szCs w:val="24"/>
        </w:rPr>
        <w:t>).</w:t>
      </w:r>
    </w:p>
    <w:p w:rsidR="00210037" w:rsidRDefault="00210037" w:rsidP="00A46993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:rsidR="00210037" w:rsidRPr="00F313EF" w:rsidRDefault="00210037" w:rsidP="00A46993">
      <w:pPr>
        <w:pStyle w:val="Sansinterligne"/>
        <w:jc w:val="both"/>
        <w:rPr>
          <w:rFonts w:ascii="Times New Roman" w:hAnsi="Times New Roman"/>
          <w:b/>
          <w:sz w:val="24"/>
          <w:szCs w:val="24"/>
        </w:rPr>
      </w:pPr>
      <w:r w:rsidRPr="00F313EF">
        <w:rPr>
          <w:rFonts w:ascii="Times New Roman" w:hAnsi="Times New Roman"/>
          <w:b/>
          <w:sz w:val="24"/>
          <w:szCs w:val="24"/>
        </w:rPr>
        <w:t>Eléments bibliographiques</w:t>
      </w:r>
    </w:p>
    <w:p w:rsidR="00ED5271" w:rsidRDefault="00ED5271" w:rsidP="00A15F4A">
      <w:pPr>
        <w:pStyle w:val="Sansinterligne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Authier-Revuz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Jacqueline, 2013, </w:t>
      </w:r>
      <w:r w:rsidR="00C25100" w:rsidRPr="00C25100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</w:rPr>
        <w:t>Ces mots qui ne vont pas de soi </w:t>
      </w:r>
      <w:r w:rsidR="00C25100" w:rsidRPr="00C25100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</w:rPr>
        <w:t>: boucles réflexives et non-coïncidences du dire</w:t>
      </w:r>
      <w:r w:rsidR="00C2510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, Limoges, Lambert-Lucas.</w:t>
      </w:r>
    </w:p>
    <w:p w:rsidR="00F03598" w:rsidRPr="00F03598" w:rsidRDefault="00F03598" w:rsidP="00A15F4A">
      <w:pPr>
        <w:pStyle w:val="Sansinterligne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F03598">
        <w:rPr>
          <w:rFonts w:ascii="Times New Roman" w:eastAsia="Times New Roman" w:hAnsi="Times New Roman"/>
          <w:color w:val="000000" w:themeColor="text1"/>
          <w:sz w:val="24"/>
          <w:szCs w:val="24"/>
        </w:rPr>
        <w:t>Birkelund</w:t>
      </w:r>
      <w:proofErr w:type="spellEnd"/>
      <w:r w:rsidRPr="00F035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03598">
        <w:rPr>
          <w:rFonts w:ascii="Times New Roman" w:eastAsia="Times New Roman" w:hAnsi="Times New Roman"/>
          <w:color w:val="000000" w:themeColor="text1"/>
          <w:sz w:val="24"/>
          <w:szCs w:val="24"/>
        </w:rPr>
        <w:t>Merete</w:t>
      </w:r>
      <w:proofErr w:type="spellEnd"/>
      <w:r w:rsidRPr="00F035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&amp; Henning </w:t>
      </w:r>
      <w:proofErr w:type="spellStart"/>
      <w:r w:rsidRPr="00F03598">
        <w:rPr>
          <w:rFonts w:ascii="Times New Roman" w:eastAsia="Times New Roman" w:hAnsi="Times New Roman"/>
          <w:color w:val="000000" w:themeColor="text1"/>
          <w:sz w:val="24"/>
          <w:szCs w:val="24"/>
        </w:rPr>
        <w:t>Nølke</w:t>
      </w:r>
      <w:proofErr w:type="spellEnd"/>
      <w:r w:rsidRPr="00F035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Rita </w:t>
      </w:r>
      <w:proofErr w:type="spellStart"/>
      <w:r w:rsidRPr="00F03598">
        <w:rPr>
          <w:rFonts w:ascii="Times New Roman" w:eastAsia="Times New Roman" w:hAnsi="Times New Roman"/>
          <w:color w:val="000000" w:themeColor="text1"/>
          <w:sz w:val="24"/>
          <w:szCs w:val="24"/>
        </w:rPr>
        <w:t>Therkelsen</w:t>
      </w:r>
      <w:proofErr w:type="spellEnd"/>
      <w:r w:rsidRPr="00F035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03598">
        <w:rPr>
          <w:rFonts w:ascii="Times New Roman" w:eastAsia="Times New Roman" w:hAnsi="Times New Roman"/>
          <w:color w:val="000000" w:themeColor="text1"/>
          <w:sz w:val="24"/>
          <w:szCs w:val="24"/>
        </w:rPr>
        <w:t>eds</w:t>
      </w:r>
      <w:proofErr w:type="spellEnd"/>
      <w:r w:rsidRPr="00F035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2009, « La polyphonie linguistique », </w:t>
      </w:r>
      <w:r w:rsidRPr="00F0359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Langue française</w:t>
      </w:r>
      <w:r w:rsidRPr="00F03598">
        <w:rPr>
          <w:rFonts w:ascii="Times New Roman" w:eastAsia="Times New Roman" w:hAnsi="Times New Roman"/>
          <w:color w:val="000000" w:themeColor="text1"/>
          <w:sz w:val="24"/>
          <w:szCs w:val="24"/>
        </w:rPr>
        <w:t>, 164.</w:t>
      </w:r>
    </w:p>
    <w:p w:rsidR="00A15F4A" w:rsidRPr="00A15F4A" w:rsidRDefault="00A15F4A" w:rsidP="00A15F4A">
      <w:pPr>
        <w:pStyle w:val="Sansinterlign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14BC9">
        <w:rPr>
          <w:rFonts w:ascii="Times New Roman" w:hAnsi="Times New Roman"/>
          <w:bCs/>
          <w:color w:val="000000" w:themeColor="text1"/>
          <w:sz w:val="24"/>
          <w:szCs w:val="24"/>
        </w:rPr>
        <w:t>Coltier</w:t>
      </w:r>
      <w:proofErr w:type="spellEnd"/>
      <w:r w:rsidRPr="00114B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Danielle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&amp; </w:t>
      </w:r>
      <w:r w:rsidRPr="00114B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Patrick </w:t>
      </w:r>
      <w:proofErr w:type="spellStart"/>
      <w:r w:rsidRPr="00114BC9">
        <w:rPr>
          <w:rFonts w:ascii="Times New Roman" w:hAnsi="Times New Roman"/>
          <w:bCs/>
          <w:color w:val="000000" w:themeColor="text1"/>
          <w:sz w:val="24"/>
          <w:szCs w:val="24"/>
        </w:rPr>
        <w:t>Dendale</w:t>
      </w:r>
      <w:proofErr w:type="spellEnd"/>
      <w:r w:rsidRPr="00114B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Philippe De </w:t>
      </w:r>
      <w:proofErr w:type="spellStart"/>
      <w:r w:rsidRPr="00114BC9">
        <w:rPr>
          <w:rFonts w:ascii="Times New Roman" w:hAnsi="Times New Roman"/>
          <w:bCs/>
          <w:color w:val="000000" w:themeColor="text1"/>
          <w:sz w:val="24"/>
          <w:szCs w:val="24"/>
        </w:rPr>
        <w:t>Brabanter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114B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E195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2009, </w:t>
      </w:r>
      <w:r w:rsidRPr="00114B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« La notion de prise en charge : </w:t>
      </w:r>
      <w:r w:rsidRPr="00A15F4A">
        <w:rPr>
          <w:rFonts w:ascii="Times New Roman" w:hAnsi="Times New Roman"/>
          <w:bCs/>
          <w:color w:val="000000" w:themeColor="text1"/>
          <w:sz w:val="24"/>
          <w:szCs w:val="24"/>
        </w:rPr>
        <w:t>Mise en perspective</w:t>
      </w:r>
      <w:r w:rsidR="000E195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 », </w:t>
      </w:r>
      <w:r w:rsidR="000E1955" w:rsidRPr="00B52500">
        <w:rPr>
          <w:rFonts w:ascii="Times New Roman" w:hAnsi="Times New Roman"/>
          <w:bCs/>
          <w:i/>
          <w:color w:val="000000" w:themeColor="text1"/>
          <w:sz w:val="24"/>
          <w:szCs w:val="24"/>
        </w:rPr>
        <w:t>Langue française</w:t>
      </w:r>
      <w:r w:rsidR="000E1955">
        <w:rPr>
          <w:rFonts w:ascii="Times New Roman" w:hAnsi="Times New Roman"/>
          <w:bCs/>
          <w:color w:val="000000" w:themeColor="text1"/>
          <w:sz w:val="24"/>
          <w:szCs w:val="24"/>
        </w:rPr>
        <w:t>, 162</w:t>
      </w:r>
      <w:r w:rsidRPr="00A15F4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pages </w:t>
      </w:r>
      <w:r w:rsidRPr="00A15F4A">
        <w:rPr>
          <w:rFonts w:ascii="Times New Roman" w:hAnsi="Times New Roman"/>
          <w:color w:val="000000" w:themeColor="text1"/>
          <w:sz w:val="24"/>
          <w:szCs w:val="24"/>
        </w:rPr>
        <w:t>3-27.</w:t>
      </w:r>
    </w:p>
    <w:p w:rsidR="0069704F" w:rsidRDefault="0069704F" w:rsidP="00147051">
      <w:pPr>
        <w:pStyle w:val="Sansinterligne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12681">
        <w:rPr>
          <w:rFonts w:ascii="Times New Roman" w:hAnsi="Times New Roman"/>
          <w:sz w:val="24"/>
          <w:szCs w:val="24"/>
          <w:lang w:val="en-US"/>
        </w:rPr>
        <w:t>Dancygier</w:t>
      </w:r>
      <w:proofErr w:type="spellEnd"/>
      <w:r w:rsidRPr="00C12681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Barbara, </w:t>
      </w:r>
      <w:r w:rsidR="000E1955">
        <w:rPr>
          <w:rFonts w:ascii="Times New Roman" w:hAnsi="Times New Roman"/>
          <w:sz w:val="24"/>
          <w:szCs w:val="24"/>
          <w:lang w:val="en-US"/>
        </w:rPr>
        <w:t xml:space="preserve">1998, </w:t>
      </w:r>
      <w:r w:rsidRPr="006E3948">
        <w:rPr>
          <w:rFonts w:ascii="Times New Roman" w:hAnsi="Times New Roman"/>
          <w:i/>
          <w:sz w:val="24"/>
          <w:szCs w:val="24"/>
          <w:lang w:val="en-US"/>
        </w:rPr>
        <w:t>Conditionals and Prediction: Time, Knowledge, and Causation in Conditional Constructions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E1955">
        <w:rPr>
          <w:rFonts w:ascii="Times New Roman" w:hAnsi="Times New Roman"/>
          <w:sz w:val="24"/>
          <w:szCs w:val="24"/>
          <w:lang w:val="en-US"/>
        </w:rPr>
        <w:t>Cambridge University Press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7E65E6" w:rsidRDefault="007E65E6" w:rsidP="00147051">
      <w:pPr>
        <w:pStyle w:val="Sansinterligne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12681">
        <w:rPr>
          <w:rFonts w:ascii="Times New Roman" w:hAnsi="Times New Roman"/>
          <w:sz w:val="24"/>
          <w:szCs w:val="24"/>
          <w:lang w:val="en-US"/>
        </w:rPr>
        <w:t>Dancygier</w:t>
      </w:r>
      <w:proofErr w:type="spellEnd"/>
      <w:r w:rsidRPr="00C12681">
        <w:rPr>
          <w:rFonts w:ascii="Times New Roman" w:hAnsi="Times New Roman"/>
          <w:sz w:val="24"/>
          <w:szCs w:val="24"/>
          <w:lang w:val="en-US"/>
        </w:rPr>
        <w:t xml:space="preserve">, Barbara &amp; Eve </w:t>
      </w:r>
      <w:proofErr w:type="spellStart"/>
      <w:r w:rsidRPr="00C12681">
        <w:rPr>
          <w:rFonts w:ascii="Times New Roman" w:hAnsi="Times New Roman"/>
          <w:sz w:val="24"/>
          <w:szCs w:val="24"/>
          <w:lang w:val="en-US"/>
        </w:rPr>
        <w:t>Sweetser</w:t>
      </w:r>
      <w:proofErr w:type="spellEnd"/>
      <w:r w:rsidRPr="00C12681">
        <w:rPr>
          <w:rFonts w:ascii="Times New Roman" w:hAnsi="Times New Roman"/>
          <w:sz w:val="24"/>
          <w:szCs w:val="24"/>
          <w:lang w:val="en-US"/>
        </w:rPr>
        <w:t>,</w:t>
      </w:r>
      <w:r w:rsidR="000E1955">
        <w:rPr>
          <w:rFonts w:ascii="Times New Roman" w:hAnsi="Times New Roman"/>
          <w:sz w:val="24"/>
          <w:szCs w:val="24"/>
          <w:lang w:val="en-US"/>
        </w:rPr>
        <w:t xml:space="preserve"> 2005,</w:t>
      </w:r>
      <w:r w:rsidRPr="00C1268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E4203">
        <w:rPr>
          <w:rFonts w:ascii="Times New Roman" w:hAnsi="Times New Roman"/>
          <w:i/>
          <w:sz w:val="24"/>
          <w:szCs w:val="24"/>
          <w:lang w:val="en-US"/>
        </w:rPr>
        <w:t>Mental Spaces in Grammar: Conditionals Constructions</w:t>
      </w:r>
      <w:r w:rsidRPr="00C12681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E1955">
        <w:rPr>
          <w:rFonts w:ascii="Times New Roman" w:hAnsi="Times New Roman"/>
          <w:sz w:val="24"/>
          <w:szCs w:val="24"/>
          <w:lang w:val="en-US"/>
        </w:rPr>
        <w:t>Cambridge University Press</w:t>
      </w:r>
      <w:r w:rsidRPr="00C12681">
        <w:rPr>
          <w:rFonts w:ascii="Times New Roman" w:hAnsi="Times New Roman"/>
          <w:sz w:val="24"/>
          <w:szCs w:val="24"/>
          <w:lang w:val="en-US"/>
        </w:rPr>
        <w:t>.</w:t>
      </w:r>
    </w:p>
    <w:p w:rsidR="00210037" w:rsidRDefault="00AB3589" w:rsidP="00147051">
      <w:pPr>
        <w:pStyle w:val="Sansinterligne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3A44CB">
        <w:rPr>
          <w:rFonts w:ascii="Times New Roman" w:hAnsi="Times New Roman"/>
          <w:color w:val="000000" w:themeColor="text1"/>
          <w:sz w:val="24"/>
          <w:szCs w:val="24"/>
          <w:lang w:val="en-US"/>
        </w:rPr>
        <w:t>Dendale</w:t>
      </w:r>
      <w:proofErr w:type="spellEnd"/>
      <w:r w:rsidRPr="003A44C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Patrick &amp; Liliane </w:t>
      </w:r>
      <w:proofErr w:type="spellStart"/>
      <w:r w:rsidRPr="003A44CB">
        <w:rPr>
          <w:rFonts w:ascii="Times New Roman" w:hAnsi="Times New Roman"/>
          <w:color w:val="000000" w:themeColor="text1"/>
          <w:sz w:val="24"/>
          <w:szCs w:val="24"/>
          <w:lang w:val="en-US"/>
        </w:rPr>
        <w:t>Tasmowsk</w:t>
      </w:r>
      <w:r w:rsidR="00B52500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3A44CB">
        <w:rPr>
          <w:rFonts w:ascii="Times New Roman" w:hAnsi="Times New Roman"/>
          <w:color w:val="000000" w:themeColor="text1"/>
          <w:sz w:val="24"/>
          <w:szCs w:val="24"/>
          <w:lang w:val="en-US"/>
        </w:rPr>
        <w:t>,</w:t>
      </w:r>
      <w:r w:rsidRPr="003A44CB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B5250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2001, </w:t>
      </w:r>
      <w:r w:rsidR="00B52500" w:rsidRPr="00B5250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« </w:t>
      </w:r>
      <w:r w:rsidRPr="003A44CB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Introduction </w:t>
      </w:r>
      <w:proofErr w:type="spellStart"/>
      <w:r w:rsidRPr="003A44CB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Evidentiality</w:t>
      </w:r>
      <w:proofErr w:type="spellEnd"/>
      <w:r w:rsidRPr="003A44CB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and related notions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”</w:t>
      </w:r>
      <w:r w:rsidRPr="003A44CB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, </w:t>
      </w:r>
      <w:r w:rsidRPr="003A44CB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Journal of Pragmatics</w:t>
      </w:r>
      <w:r w:rsidR="00553ED2">
        <w:rPr>
          <w:rFonts w:ascii="Times New Roman" w:hAnsi="Times New Roman"/>
          <w:color w:val="000000" w:themeColor="text1"/>
          <w:sz w:val="24"/>
          <w:szCs w:val="24"/>
          <w:lang w:val="en-US"/>
        </w:rPr>
        <w:t>,</w:t>
      </w:r>
      <w:r w:rsidR="00B5250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33</w:t>
      </w:r>
      <w:r w:rsidR="0033573B">
        <w:rPr>
          <w:rFonts w:ascii="Times New Roman" w:hAnsi="Times New Roman"/>
          <w:color w:val="000000" w:themeColor="text1"/>
          <w:sz w:val="24"/>
          <w:szCs w:val="24"/>
          <w:lang w:val="en-US"/>
        </w:rPr>
        <w:t>, pages</w:t>
      </w:r>
      <w:r w:rsidRPr="003A44C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339-348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2A1877" w:rsidRPr="000E1955" w:rsidRDefault="002A1877" w:rsidP="00147051">
      <w:pPr>
        <w:pStyle w:val="Sansinterligne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E1955">
        <w:rPr>
          <w:rFonts w:ascii="Times New Roman" w:hAnsi="Times New Roman"/>
          <w:sz w:val="24"/>
          <w:szCs w:val="24"/>
          <w:lang w:val="en-US"/>
        </w:rPr>
        <w:t>Fauconnier</w:t>
      </w:r>
      <w:proofErr w:type="spellEnd"/>
      <w:r w:rsidRPr="000E1955">
        <w:rPr>
          <w:rFonts w:ascii="Times New Roman" w:hAnsi="Times New Roman"/>
          <w:sz w:val="24"/>
          <w:szCs w:val="24"/>
          <w:lang w:val="en-US"/>
        </w:rPr>
        <w:t xml:space="preserve">, Gilles &amp; Eve </w:t>
      </w:r>
      <w:proofErr w:type="spellStart"/>
      <w:r w:rsidRPr="000E1955">
        <w:rPr>
          <w:rFonts w:ascii="Times New Roman" w:hAnsi="Times New Roman"/>
          <w:sz w:val="24"/>
          <w:szCs w:val="24"/>
          <w:lang w:val="en-US"/>
        </w:rPr>
        <w:t>Sweetser</w:t>
      </w:r>
      <w:proofErr w:type="spellEnd"/>
      <w:r w:rsidRPr="000E195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E1955">
        <w:rPr>
          <w:rFonts w:ascii="Times New Roman" w:hAnsi="Times New Roman"/>
          <w:sz w:val="24"/>
          <w:szCs w:val="24"/>
          <w:lang w:val="en-US"/>
        </w:rPr>
        <w:t>eds</w:t>
      </w:r>
      <w:proofErr w:type="spellEnd"/>
      <w:proofErr w:type="gramEnd"/>
      <w:r w:rsidRPr="000E195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E1955">
        <w:rPr>
          <w:rFonts w:ascii="Times New Roman" w:hAnsi="Times New Roman"/>
          <w:sz w:val="24"/>
          <w:szCs w:val="24"/>
          <w:lang w:val="en-US"/>
        </w:rPr>
        <w:t xml:space="preserve">1996, </w:t>
      </w:r>
      <w:r w:rsidRPr="000E1955">
        <w:rPr>
          <w:rFonts w:ascii="Times New Roman" w:hAnsi="Times New Roman"/>
          <w:i/>
          <w:sz w:val="24"/>
          <w:szCs w:val="24"/>
          <w:lang w:val="en-US"/>
        </w:rPr>
        <w:t xml:space="preserve">Spaces, </w:t>
      </w:r>
      <w:r w:rsidR="000E1955" w:rsidRPr="000E1955">
        <w:rPr>
          <w:rFonts w:ascii="Times New Roman" w:hAnsi="Times New Roman"/>
          <w:i/>
          <w:sz w:val="24"/>
          <w:szCs w:val="24"/>
          <w:lang w:val="en-US"/>
        </w:rPr>
        <w:t>worlds, and grammar</w:t>
      </w:r>
      <w:r w:rsidR="000E1955" w:rsidRPr="000E1955">
        <w:rPr>
          <w:rFonts w:ascii="Times New Roman" w:hAnsi="Times New Roman"/>
          <w:sz w:val="24"/>
          <w:szCs w:val="24"/>
          <w:lang w:val="en-US"/>
        </w:rPr>
        <w:t xml:space="preserve">, Chicago, The </w:t>
      </w:r>
      <w:r w:rsidR="000E1955">
        <w:rPr>
          <w:rFonts w:ascii="Times New Roman" w:hAnsi="Times New Roman"/>
          <w:sz w:val="24"/>
          <w:szCs w:val="24"/>
          <w:lang w:val="en-US"/>
        </w:rPr>
        <w:t>University of Chicago press.</w:t>
      </w:r>
    </w:p>
    <w:p w:rsidR="00AB3589" w:rsidRDefault="00AB3589" w:rsidP="00147051">
      <w:pPr>
        <w:pStyle w:val="Sansinterligne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3589">
        <w:rPr>
          <w:rFonts w:ascii="Times New Roman" w:hAnsi="Times New Roman"/>
          <w:sz w:val="24"/>
          <w:szCs w:val="24"/>
        </w:rPr>
        <w:t>Guentchéva</w:t>
      </w:r>
      <w:proofErr w:type="spellEnd"/>
      <w:r w:rsidRPr="00AB35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3589">
        <w:rPr>
          <w:rFonts w:ascii="Times New Roman" w:hAnsi="Times New Roman"/>
          <w:sz w:val="24"/>
          <w:szCs w:val="24"/>
        </w:rPr>
        <w:t>Zlatka</w:t>
      </w:r>
      <w:proofErr w:type="spellEnd"/>
      <w:r w:rsidRPr="00AB3589">
        <w:rPr>
          <w:rFonts w:ascii="Times New Roman" w:hAnsi="Times New Roman"/>
          <w:sz w:val="24"/>
          <w:szCs w:val="24"/>
        </w:rPr>
        <w:t xml:space="preserve">, </w:t>
      </w:r>
      <w:r w:rsidR="00B52500">
        <w:rPr>
          <w:rFonts w:ascii="Times New Roman" w:hAnsi="Times New Roman"/>
          <w:sz w:val="24"/>
          <w:szCs w:val="24"/>
        </w:rPr>
        <w:t xml:space="preserve">2004, </w:t>
      </w:r>
      <w:r w:rsidRPr="00AB3589">
        <w:rPr>
          <w:rFonts w:ascii="Times New Roman" w:hAnsi="Times New Roman"/>
          <w:sz w:val="24"/>
          <w:szCs w:val="24"/>
        </w:rPr>
        <w:t xml:space="preserve">« La notion de médiation </w:t>
      </w:r>
      <w:r w:rsidR="00B52500">
        <w:rPr>
          <w:rFonts w:ascii="Times New Roman" w:hAnsi="Times New Roman"/>
          <w:sz w:val="24"/>
          <w:szCs w:val="24"/>
        </w:rPr>
        <w:t>dans la diversité des langues »,</w:t>
      </w:r>
      <w:r w:rsidRPr="00AB3589">
        <w:rPr>
          <w:rFonts w:ascii="Times New Roman" w:hAnsi="Times New Roman"/>
          <w:sz w:val="24"/>
          <w:szCs w:val="24"/>
        </w:rPr>
        <w:t xml:space="preserve"> </w:t>
      </w:r>
      <w:r w:rsidRPr="00B52500">
        <w:rPr>
          <w:rFonts w:ascii="Times New Roman" w:hAnsi="Times New Roman"/>
          <w:i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 : </w:t>
      </w:r>
      <w:proofErr w:type="spellStart"/>
      <w:r w:rsidRPr="00AB3589">
        <w:rPr>
          <w:rFonts w:ascii="Times New Roman" w:hAnsi="Times New Roman"/>
          <w:sz w:val="24"/>
          <w:szCs w:val="24"/>
        </w:rPr>
        <w:t>Delamotte</w:t>
      </w:r>
      <w:proofErr w:type="spellEnd"/>
      <w:r w:rsidRPr="00AB3589">
        <w:rPr>
          <w:rFonts w:ascii="Times New Roman" w:hAnsi="Times New Roman"/>
          <w:sz w:val="24"/>
          <w:szCs w:val="24"/>
        </w:rPr>
        <w:t xml:space="preserve">-Legrand, Régine, </w:t>
      </w:r>
      <w:proofErr w:type="spellStart"/>
      <w:r w:rsidRPr="00AB3589">
        <w:rPr>
          <w:rFonts w:ascii="Times New Roman" w:hAnsi="Times New Roman"/>
          <w:sz w:val="24"/>
          <w:szCs w:val="24"/>
        </w:rPr>
        <w:t>dir</w:t>
      </w:r>
      <w:proofErr w:type="spellEnd"/>
      <w:r w:rsidRPr="00AB3589">
        <w:rPr>
          <w:rFonts w:ascii="Times New Roman" w:hAnsi="Times New Roman"/>
          <w:sz w:val="24"/>
          <w:szCs w:val="24"/>
        </w:rPr>
        <w:t xml:space="preserve">, </w:t>
      </w:r>
      <w:r w:rsidRPr="00AB3589">
        <w:rPr>
          <w:rFonts w:ascii="Times New Roman" w:hAnsi="Times New Roman"/>
          <w:i/>
          <w:sz w:val="24"/>
          <w:szCs w:val="24"/>
        </w:rPr>
        <w:t>Les médiations langagières : Des faits de langue aux discours</w:t>
      </w:r>
      <w:r w:rsidRPr="00AB3589">
        <w:rPr>
          <w:rFonts w:ascii="Times New Roman" w:hAnsi="Times New Roman"/>
          <w:sz w:val="24"/>
          <w:szCs w:val="24"/>
        </w:rPr>
        <w:t>, Publication</w:t>
      </w:r>
      <w:r w:rsidR="00B52500">
        <w:rPr>
          <w:rFonts w:ascii="Times New Roman" w:hAnsi="Times New Roman"/>
          <w:sz w:val="24"/>
          <w:szCs w:val="24"/>
        </w:rPr>
        <w:t>s de l’Université de Rouen,</w:t>
      </w:r>
      <w:r w:rsidRPr="00AB3589">
        <w:rPr>
          <w:rFonts w:ascii="Times New Roman" w:hAnsi="Times New Roman"/>
          <w:sz w:val="24"/>
          <w:szCs w:val="24"/>
        </w:rPr>
        <w:t xml:space="preserve"> 2 vol</w:t>
      </w:r>
      <w:r w:rsidR="0033573B">
        <w:rPr>
          <w:rFonts w:ascii="Times New Roman" w:hAnsi="Times New Roman"/>
          <w:sz w:val="24"/>
          <w:szCs w:val="24"/>
        </w:rPr>
        <w:t>., pages</w:t>
      </w:r>
      <w:r w:rsidRPr="00AB3589">
        <w:rPr>
          <w:rFonts w:ascii="Times New Roman" w:hAnsi="Times New Roman"/>
          <w:sz w:val="24"/>
          <w:szCs w:val="24"/>
        </w:rPr>
        <w:t xml:space="preserve"> 11-33</w:t>
      </w:r>
      <w:r w:rsidR="0033573B">
        <w:rPr>
          <w:rFonts w:ascii="Times New Roman" w:hAnsi="Times New Roman"/>
          <w:sz w:val="24"/>
          <w:szCs w:val="24"/>
        </w:rPr>
        <w:t xml:space="preserve"> du vol. 1.</w:t>
      </w:r>
    </w:p>
    <w:p w:rsidR="00147051" w:rsidRPr="007E65E6" w:rsidRDefault="00147051" w:rsidP="00147051">
      <w:pPr>
        <w:pStyle w:val="Sansinterligne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44CB">
        <w:rPr>
          <w:rFonts w:ascii="Times New Roman" w:hAnsi="Times New Roman"/>
          <w:sz w:val="24"/>
          <w:szCs w:val="24"/>
        </w:rPr>
        <w:t>Kronning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A44CB">
        <w:rPr>
          <w:rFonts w:ascii="Times New Roman" w:hAnsi="Times New Roman"/>
          <w:sz w:val="24"/>
          <w:szCs w:val="24"/>
        </w:rPr>
        <w:t xml:space="preserve"> Hans</w:t>
      </w:r>
      <w:r>
        <w:rPr>
          <w:rFonts w:ascii="Times New Roman" w:hAnsi="Times New Roman"/>
          <w:sz w:val="24"/>
          <w:szCs w:val="24"/>
        </w:rPr>
        <w:t>,</w:t>
      </w:r>
      <w:r w:rsidR="00B52500">
        <w:rPr>
          <w:rFonts w:ascii="Times New Roman" w:hAnsi="Times New Roman"/>
          <w:sz w:val="24"/>
          <w:szCs w:val="24"/>
        </w:rPr>
        <w:t xml:space="preserve"> 2012,</w:t>
      </w:r>
      <w:r w:rsidRPr="003A44CB">
        <w:rPr>
          <w:rFonts w:ascii="Times New Roman" w:hAnsi="Times New Roman"/>
          <w:sz w:val="24"/>
          <w:szCs w:val="24"/>
        </w:rPr>
        <w:t xml:space="preserve"> « Le conditionnel épistémique : propriétés et fonctions discursives 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A44CB">
        <w:rPr>
          <w:rFonts w:ascii="Times New Roman" w:hAnsi="Times New Roman"/>
          <w:i/>
          <w:sz w:val="24"/>
          <w:szCs w:val="24"/>
        </w:rPr>
        <w:t>Langue française</w:t>
      </w:r>
      <w:r w:rsidR="00B52500">
        <w:rPr>
          <w:rFonts w:ascii="Times New Roman" w:hAnsi="Times New Roman"/>
          <w:sz w:val="24"/>
          <w:szCs w:val="24"/>
        </w:rPr>
        <w:t>, 173</w:t>
      </w:r>
      <w:r w:rsidR="007E65E6">
        <w:rPr>
          <w:rFonts w:ascii="Times New Roman" w:hAnsi="Times New Roman"/>
          <w:sz w:val="24"/>
          <w:szCs w:val="24"/>
        </w:rPr>
        <w:t>, pages</w:t>
      </w:r>
      <w:r w:rsidRPr="003A44CB">
        <w:rPr>
          <w:rFonts w:ascii="Times New Roman" w:hAnsi="Times New Roman"/>
          <w:sz w:val="24"/>
          <w:szCs w:val="24"/>
        </w:rPr>
        <w:t xml:space="preserve"> </w:t>
      </w:r>
      <w:r w:rsidRPr="007E65E6">
        <w:rPr>
          <w:rFonts w:ascii="Times New Roman" w:hAnsi="Times New Roman"/>
          <w:sz w:val="24"/>
          <w:szCs w:val="24"/>
        </w:rPr>
        <w:t>83-97.</w:t>
      </w:r>
    </w:p>
    <w:p w:rsidR="00A15F4A" w:rsidRPr="008B6EB8" w:rsidRDefault="009E5370" w:rsidP="008B6EB8">
      <w:pPr>
        <w:pStyle w:val="Sansinterligne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A1877">
        <w:rPr>
          <w:rFonts w:ascii="Times New Roman" w:hAnsi="Times New Roman"/>
          <w:sz w:val="24"/>
          <w:szCs w:val="24"/>
          <w:lang w:val="en-US"/>
        </w:rPr>
        <w:t xml:space="preserve">Palmer, </w:t>
      </w:r>
      <w:r w:rsidR="00105F29" w:rsidRPr="002A1877">
        <w:rPr>
          <w:rFonts w:ascii="Times New Roman" w:hAnsi="Times New Roman"/>
          <w:sz w:val="24"/>
          <w:szCs w:val="24"/>
          <w:lang w:val="en-US"/>
        </w:rPr>
        <w:t>Frank R.</w:t>
      </w:r>
      <w:r w:rsidRPr="002A1877">
        <w:rPr>
          <w:rFonts w:ascii="Times New Roman" w:hAnsi="Times New Roman"/>
          <w:sz w:val="24"/>
          <w:szCs w:val="24"/>
          <w:lang w:val="en-US"/>
        </w:rPr>
        <w:t>,</w:t>
      </w:r>
      <w:r w:rsidR="00B52500">
        <w:rPr>
          <w:rFonts w:ascii="Times New Roman" w:hAnsi="Times New Roman"/>
          <w:sz w:val="24"/>
          <w:szCs w:val="24"/>
          <w:lang w:val="en-US"/>
        </w:rPr>
        <w:t xml:space="preserve"> 2001,</w:t>
      </w:r>
      <w:r w:rsidRPr="002A18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A1877">
        <w:rPr>
          <w:rFonts w:ascii="Times New Roman" w:hAnsi="Times New Roman"/>
          <w:i/>
          <w:sz w:val="24"/>
          <w:szCs w:val="24"/>
          <w:lang w:val="en-US"/>
        </w:rPr>
        <w:t>Mood and Modality</w:t>
      </w:r>
      <w:r w:rsidRPr="002A1877">
        <w:rPr>
          <w:rFonts w:ascii="Times New Roman" w:hAnsi="Times New Roman"/>
          <w:sz w:val="24"/>
          <w:szCs w:val="24"/>
          <w:lang w:val="en-US"/>
        </w:rPr>
        <w:t>,</w:t>
      </w:r>
      <w:r w:rsidR="005E3A0E" w:rsidRPr="002A18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A551F">
        <w:rPr>
          <w:rFonts w:ascii="Times New Roman" w:hAnsi="Times New Roman"/>
          <w:sz w:val="24"/>
          <w:szCs w:val="24"/>
          <w:lang w:val="en-US"/>
        </w:rPr>
        <w:t>Cambridge University Press</w:t>
      </w:r>
      <w:r w:rsidR="00105F29" w:rsidRPr="002A1877">
        <w:rPr>
          <w:rFonts w:ascii="Times New Roman" w:hAnsi="Times New Roman"/>
          <w:sz w:val="24"/>
          <w:szCs w:val="24"/>
          <w:lang w:val="en-US"/>
        </w:rPr>
        <w:t>.</w:t>
      </w:r>
      <w:bookmarkStart w:id="0" w:name="_GoBack"/>
      <w:bookmarkEnd w:id="0"/>
      <w:proofErr w:type="gramEnd"/>
    </w:p>
    <w:sectPr w:rsidR="00A15F4A" w:rsidRPr="008B6EB8" w:rsidSect="00B17412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D7FF7"/>
    <w:multiLevelType w:val="hybridMultilevel"/>
    <w:tmpl w:val="D75C64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93"/>
    <w:rsid w:val="00010326"/>
    <w:rsid w:val="0002794C"/>
    <w:rsid w:val="000501DC"/>
    <w:rsid w:val="000604D1"/>
    <w:rsid w:val="000750A5"/>
    <w:rsid w:val="00095262"/>
    <w:rsid w:val="000E1955"/>
    <w:rsid w:val="000E4203"/>
    <w:rsid w:val="000E69FD"/>
    <w:rsid w:val="000F4816"/>
    <w:rsid w:val="00105F29"/>
    <w:rsid w:val="00114BC9"/>
    <w:rsid w:val="00125B18"/>
    <w:rsid w:val="001328C6"/>
    <w:rsid w:val="00147051"/>
    <w:rsid w:val="0015258D"/>
    <w:rsid w:val="001832DD"/>
    <w:rsid w:val="00194EC1"/>
    <w:rsid w:val="001D0347"/>
    <w:rsid w:val="002046DD"/>
    <w:rsid w:val="00206579"/>
    <w:rsid w:val="00210037"/>
    <w:rsid w:val="0025772C"/>
    <w:rsid w:val="00273B65"/>
    <w:rsid w:val="002A1877"/>
    <w:rsid w:val="002B0AD4"/>
    <w:rsid w:val="002B39D1"/>
    <w:rsid w:val="002B78EF"/>
    <w:rsid w:val="002C0C31"/>
    <w:rsid w:val="002F7CC6"/>
    <w:rsid w:val="0031401F"/>
    <w:rsid w:val="00332379"/>
    <w:rsid w:val="003335C0"/>
    <w:rsid w:val="0033573B"/>
    <w:rsid w:val="00335826"/>
    <w:rsid w:val="003753FA"/>
    <w:rsid w:val="003A44CB"/>
    <w:rsid w:val="003A5E97"/>
    <w:rsid w:val="003B789F"/>
    <w:rsid w:val="003E300A"/>
    <w:rsid w:val="003F5368"/>
    <w:rsid w:val="00401991"/>
    <w:rsid w:val="00404B59"/>
    <w:rsid w:val="0040692B"/>
    <w:rsid w:val="004279E3"/>
    <w:rsid w:val="0044061A"/>
    <w:rsid w:val="00467247"/>
    <w:rsid w:val="004723F4"/>
    <w:rsid w:val="004A3FF4"/>
    <w:rsid w:val="004B03C4"/>
    <w:rsid w:val="004C562D"/>
    <w:rsid w:val="004F1BF5"/>
    <w:rsid w:val="00507847"/>
    <w:rsid w:val="00523356"/>
    <w:rsid w:val="00553ED2"/>
    <w:rsid w:val="00555DEC"/>
    <w:rsid w:val="00563323"/>
    <w:rsid w:val="005648EF"/>
    <w:rsid w:val="005730EE"/>
    <w:rsid w:val="005778DA"/>
    <w:rsid w:val="005E3A0E"/>
    <w:rsid w:val="0061224D"/>
    <w:rsid w:val="00625B1A"/>
    <w:rsid w:val="0064179F"/>
    <w:rsid w:val="00692FE6"/>
    <w:rsid w:val="0069704F"/>
    <w:rsid w:val="0069799C"/>
    <w:rsid w:val="006A0764"/>
    <w:rsid w:val="006B0901"/>
    <w:rsid w:val="006E3948"/>
    <w:rsid w:val="00702DC0"/>
    <w:rsid w:val="00707B84"/>
    <w:rsid w:val="007B3D0F"/>
    <w:rsid w:val="007E0F04"/>
    <w:rsid w:val="007E65E6"/>
    <w:rsid w:val="0080039B"/>
    <w:rsid w:val="00804074"/>
    <w:rsid w:val="008241BE"/>
    <w:rsid w:val="00834203"/>
    <w:rsid w:val="00835778"/>
    <w:rsid w:val="00852C12"/>
    <w:rsid w:val="0087330D"/>
    <w:rsid w:val="008A7ACB"/>
    <w:rsid w:val="008B6EB8"/>
    <w:rsid w:val="008C4A82"/>
    <w:rsid w:val="009022DD"/>
    <w:rsid w:val="00963C24"/>
    <w:rsid w:val="00984D67"/>
    <w:rsid w:val="00985ADE"/>
    <w:rsid w:val="00995CC1"/>
    <w:rsid w:val="009E5370"/>
    <w:rsid w:val="00A15F4A"/>
    <w:rsid w:val="00A210B7"/>
    <w:rsid w:val="00A46993"/>
    <w:rsid w:val="00A85D76"/>
    <w:rsid w:val="00AA67DE"/>
    <w:rsid w:val="00AB3589"/>
    <w:rsid w:val="00AE6E5A"/>
    <w:rsid w:val="00AF3F5A"/>
    <w:rsid w:val="00B02698"/>
    <w:rsid w:val="00B02D2C"/>
    <w:rsid w:val="00B1189F"/>
    <w:rsid w:val="00B17412"/>
    <w:rsid w:val="00B277D9"/>
    <w:rsid w:val="00B52500"/>
    <w:rsid w:val="00B746DF"/>
    <w:rsid w:val="00B804E3"/>
    <w:rsid w:val="00B82C59"/>
    <w:rsid w:val="00B83C7E"/>
    <w:rsid w:val="00B92B46"/>
    <w:rsid w:val="00BA0668"/>
    <w:rsid w:val="00BD4D32"/>
    <w:rsid w:val="00BF1FB3"/>
    <w:rsid w:val="00C12681"/>
    <w:rsid w:val="00C25100"/>
    <w:rsid w:val="00C55831"/>
    <w:rsid w:val="00C655E0"/>
    <w:rsid w:val="00C83805"/>
    <w:rsid w:val="00C83E2E"/>
    <w:rsid w:val="00CA4571"/>
    <w:rsid w:val="00CC4923"/>
    <w:rsid w:val="00CD1252"/>
    <w:rsid w:val="00CE4B1B"/>
    <w:rsid w:val="00CF7DC9"/>
    <w:rsid w:val="00D177DC"/>
    <w:rsid w:val="00D46980"/>
    <w:rsid w:val="00D73827"/>
    <w:rsid w:val="00D81C6C"/>
    <w:rsid w:val="00DA551F"/>
    <w:rsid w:val="00DE5A33"/>
    <w:rsid w:val="00E06FC7"/>
    <w:rsid w:val="00E117FC"/>
    <w:rsid w:val="00E37EFB"/>
    <w:rsid w:val="00E45426"/>
    <w:rsid w:val="00E65642"/>
    <w:rsid w:val="00E66B5C"/>
    <w:rsid w:val="00E71BC3"/>
    <w:rsid w:val="00E95D2E"/>
    <w:rsid w:val="00EB2312"/>
    <w:rsid w:val="00ED5271"/>
    <w:rsid w:val="00ED7A3B"/>
    <w:rsid w:val="00EF2AE3"/>
    <w:rsid w:val="00F03598"/>
    <w:rsid w:val="00F045C6"/>
    <w:rsid w:val="00F12E36"/>
    <w:rsid w:val="00F313EF"/>
    <w:rsid w:val="00F3328A"/>
    <w:rsid w:val="00F535E8"/>
    <w:rsid w:val="00FA2470"/>
    <w:rsid w:val="00FB07B9"/>
    <w:rsid w:val="00FB2675"/>
    <w:rsid w:val="00FC1B37"/>
    <w:rsid w:val="00FC4C46"/>
    <w:rsid w:val="00FD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8EF"/>
  </w:style>
  <w:style w:type="paragraph" w:styleId="Titre5">
    <w:name w:val="heading 5"/>
    <w:basedOn w:val="Normal"/>
    <w:link w:val="Titre5Car"/>
    <w:uiPriority w:val="9"/>
    <w:qFormat/>
    <w:rsid w:val="00ED52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B78EF"/>
    <w:pPr>
      <w:spacing w:after="0" w:line="240" w:lineRule="auto"/>
    </w:pPr>
  </w:style>
  <w:style w:type="character" w:customStyle="1" w:styleId="Titre5Car">
    <w:name w:val="Titre 5 Car"/>
    <w:basedOn w:val="Policepardfaut"/>
    <w:link w:val="Titre5"/>
    <w:uiPriority w:val="9"/>
    <w:rsid w:val="00ED5271"/>
    <w:rPr>
      <w:rFonts w:ascii="Times New Roman" w:eastAsia="Times New Roman" w:hAnsi="Times New Roman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D52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8EF"/>
  </w:style>
  <w:style w:type="paragraph" w:styleId="Titre5">
    <w:name w:val="heading 5"/>
    <w:basedOn w:val="Normal"/>
    <w:link w:val="Titre5Car"/>
    <w:uiPriority w:val="9"/>
    <w:qFormat/>
    <w:rsid w:val="00ED52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B78EF"/>
    <w:pPr>
      <w:spacing w:after="0" w:line="240" w:lineRule="auto"/>
    </w:pPr>
  </w:style>
  <w:style w:type="character" w:customStyle="1" w:styleId="Titre5Car">
    <w:name w:val="Titre 5 Car"/>
    <w:basedOn w:val="Policepardfaut"/>
    <w:link w:val="Titre5"/>
    <w:uiPriority w:val="9"/>
    <w:rsid w:val="00ED5271"/>
    <w:rPr>
      <w:rFonts w:ascii="Times New Roman" w:eastAsia="Times New Roman" w:hAnsi="Times New Roman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D5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Portine</dc:creator>
  <cp:lastModifiedBy>Portine</cp:lastModifiedBy>
  <cp:revision>2</cp:revision>
  <dcterms:created xsi:type="dcterms:W3CDTF">2016-05-10T20:37:00Z</dcterms:created>
  <dcterms:modified xsi:type="dcterms:W3CDTF">2016-05-10T20:37:00Z</dcterms:modified>
</cp:coreProperties>
</file>