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1871" w14:textId="6587172A" w:rsidR="001616B8" w:rsidRPr="00DA4508" w:rsidRDefault="001616B8" w:rsidP="00DA4508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Le développement du subjonctif après les verbes de sentiment</w:t>
      </w:r>
      <w:bookmarkStart w:id="0" w:name="_GoBack"/>
      <w:bookmarkEnd w:id="0"/>
    </w:p>
    <w:p w14:paraId="07099B32" w14:textId="5C164A2B" w:rsidR="001616B8" w:rsidRPr="00A402E3" w:rsidRDefault="001616B8" w:rsidP="0082114B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Cs w:val="24"/>
        </w:rPr>
        <w:t xml:space="preserve">De prime abord, le développement du subjonctif du latin au français suit le chemin de grammaticalisation esquissé par </w:t>
      </w:r>
      <w:proofErr w:type="spellStart"/>
      <w:r>
        <w:rPr>
          <w:rFonts w:ascii="Garamond" w:hAnsi="Garamond"/>
          <w:szCs w:val="24"/>
        </w:rPr>
        <w:t>Bybee</w:t>
      </w:r>
      <w:proofErr w:type="spellEnd"/>
      <w:r>
        <w:rPr>
          <w:rFonts w:ascii="Garamond" w:hAnsi="Garamond"/>
          <w:szCs w:val="24"/>
        </w:rPr>
        <w:t xml:space="preserve"> </w:t>
      </w:r>
      <w:r w:rsidRPr="00953011">
        <w:rPr>
          <w:rFonts w:ascii="Garamond" w:hAnsi="Garamond"/>
          <w:i/>
          <w:szCs w:val="24"/>
        </w:rPr>
        <w:t xml:space="preserve">et al. </w:t>
      </w:r>
      <w:r>
        <w:rPr>
          <w:rFonts w:ascii="Garamond" w:hAnsi="Garamond"/>
          <w:szCs w:val="24"/>
        </w:rPr>
        <w:t xml:space="preserve">(1994 : 212-225). Le </w:t>
      </w:r>
      <w:proofErr w:type="spellStart"/>
      <w:r>
        <w:rPr>
          <w:rFonts w:ascii="Garamond" w:hAnsi="Garamond"/>
          <w:i/>
          <w:szCs w:val="24"/>
        </w:rPr>
        <w:t>coniuntivus</w:t>
      </w:r>
      <w:proofErr w:type="spellEnd"/>
      <w:r>
        <w:rPr>
          <w:rFonts w:ascii="Garamond" w:hAnsi="Garamond"/>
          <w:szCs w:val="24"/>
        </w:rPr>
        <w:t xml:space="preserve"> latin, d’abord associé à des valeurs modales de volonté et de possibilité, est ensuite réinterprété comme simple marque de subordination, d’où p. ex. son </w:t>
      </w:r>
      <w:r w:rsidR="00326FD2">
        <w:rPr>
          <w:rFonts w:ascii="Garamond" w:hAnsi="Garamond"/>
          <w:szCs w:val="24"/>
        </w:rPr>
        <w:t xml:space="preserve">extension </w:t>
      </w:r>
      <w:r>
        <w:rPr>
          <w:rFonts w:ascii="Garamond" w:hAnsi="Garamond"/>
          <w:szCs w:val="24"/>
        </w:rPr>
        <w:t>en discours indirect. Puis,</w:t>
      </w:r>
      <w:r w:rsidR="0070083E">
        <w:rPr>
          <w:rFonts w:ascii="Garamond" w:hAnsi="Garamond"/>
          <w:szCs w:val="24"/>
        </w:rPr>
        <w:t xml:space="preserve"> </w:t>
      </w:r>
      <w:r w:rsidR="004825D2">
        <w:rPr>
          <w:rFonts w:ascii="Garamond" w:hAnsi="Garamond"/>
          <w:szCs w:val="24"/>
        </w:rPr>
        <w:t xml:space="preserve">cette tendance </w:t>
      </w:r>
      <w:r w:rsidR="00513FB4">
        <w:rPr>
          <w:rFonts w:ascii="Garamond" w:hAnsi="Garamond"/>
          <w:szCs w:val="24"/>
        </w:rPr>
        <w:t xml:space="preserve">se renverse en latin tardif </w:t>
      </w:r>
      <w:r w:rsidR="004825D2" w:rsidRPr="004825D2">
        <w:rPr>
          <w:rFonts w:ascii="Garamond" w:hAnsi="Garamond"/>
          <w:szCs w:val="24"/>
        </w:rPr>
        <w:t>(</w:t>
      </w:r>
      <w:proofErr w:type="spellStart"/>
      <w:r w:rsidR="004825D2" w:rsidRPr="004825D2">
        <w:rPr>
          <w:rFonts w:ascii="Garamond" w:hAnsi="Garamond"/>
          <w:szCs w:val="24"/>
        </w:rPr>
        <w:t>Mellet</w:t>
      </w:r>
      <w:proofErr w:type="spellEnd"/>
      <w:r w:rsidR="004825D2" w:rsidRPr="004825D2">
        <w:rPr>
          <w:rFonts w:ascii="Garamond" w:hAnsi="Garamond"/>
          <w:szCs w:val="24"/>
        </w:rPr>
        <w:t xml:space="preserve"> 1994 : 206 ; </w:t>
      </w:r>
      <w:proofErr w:type="spellStart"/>
      <w:r w:rsidR="004825D2" w:rsidRPr="004825D2">
        <w:rPr>
          <w:rFonts w:ascii="Garamond" w:hAnsi="Garamond"/>
          <w:szCs w:val="24"/>
        </w:rPr>
        <w:t>Magni</w:t>
      </w:r>
      <w:proofErr w:type="spellEnd"/>
      <w:r w:rsidR="004825D2" w:rsidRPr="004825D2">
        <w:rPr>
          <w:rFonts w:ascii="Garamond" w:hAnsi="Garamond"/>
          <w:szCs w:val="24"/>
        </w:rPr>
        <w:t xml:space="preserve"> 2009 : 260)</w:t>
      </w:r>
      <w:r w:rsidR="004825D2">
        <w:rPr>
          <w:rFonts w:ascii="Garamond" w:hAnsi="Garamond"/>
          <w:szCs w:val="24"/>
        </w:rPr>
        <w:t xml:space="preserve"> et</w:t>
      </w:r>
      <w:r w:rsidR="00513FB4">
        <w:rPr>
          <w:rFonts w:ascii="Garamond" w:hAnsi="Garamond"/>
          <w:szCs w:val="24"/>
        </w:rPr>
        <w:t>,</w:t>
      </w:r>
      <w:r w:rsidR="004825D2">
        <w:rPr>
          <w:rFonts w:ascii="Garamond" w:hAnsi="Garamond"/>
          <w:szCs w:val="24"/>
        </w:rPr>
        <w:t xml:space="preserve"> </w:t>
      </w:r>
      <w:r w:rsidR="00642DEA">
        <w:rPr>
          <w:rFonts w:ascii="Garamond" w:hAnsi="Garamond"/>
          <w:szCs w:val="24"/>
        </w:rPr>
        <w:t>de l’ancien français jusqu’au français moderne</w:t>
      </w:r>
      <w:r w:rsidR="00813D02">
        <w:rPr>
          <w:rFonts w:ascii="Garamond" w:hAnsi="Garamond"/>
          <w:szCs w:val="24"/>
        </w:rPr>
        <w:t>,</w:t>
      </w:r>
      <w:r w:rsidR="004825D2">
        <w:rPr>
          <w:rFonts w:ascii="Garamond" w:hAnsi="Garamond"/>
          <w:szCs w:val="24"/>
        </w:rPr>
        <w:t xml:space="preserve"> le subjonctif </w:t>
      </w:r>
      <w:r w:rsidR="00642DEA">
        <w:rPr>
          <w:rFonts w:ascii="Garamond" w:hAnsi="Garamond"/>
          <w:szCs w:val="24"/>
        </w:rPr>
        <w:t>cède de plus en plus la place à</w:t>
      </w:r>
      <w:r w:rsidR="00513FB4">
        <w:rPr>
          <w:rFonts w:ascii="Garamond" w:hAnsi="Garamond"/>
          <w:szCs w:val="24"/>
        </w:rPr>
        <w:t xml:space="preserve"> de</w:t>
      </w:r>
      <w:r>
        <w:rPr>
          <w:rFonts w:ascii="Garamond" w:hAnsi="Garamond"/>
          <w:szCs w:val="24"/>
        </w:rPr>
        <w:t xml:space="preserve"> nouvelles formes, en l’occurrence indicatives, p. ex. après des verbes d’opinion ou de croyance (voir </w:t>
      </w:r>
      <w:proofErr w:type="spellStart"/>
      <w:r>
        <w:rPr>
          <w:rFonts w:ascii="Garamond" w:hAnsi="Garamond"/>
          <w:szCs w:val="24"/>
        </w:rPr>
        <w:t>Loengarov</w:t>
      </w:r>
      <w:proofErr w:type="spellEnd"/>
      <w:r>
        <w:rPr>
          <w:rFonts w:ascii="Garamond" w:hAnsi="Garamond"/>
          <w:szCs w:val="24"/>
        </w:rPr>
        <w:t xml:space="preserve"> 2006, </w:t>
      </w:r>
      <w:r w:rsidR="004825D2">
        <w:rPr>
          <w:rFonts w:ascii="Garamond" w:hAnsi="Garamond"/>
          <w:szCs w:val="24"/>
        </w:rPr>
        <w:t xml:space="preserve">Dreer 2007, </w:t>
      </w:r>
      <w:proofErr w:type="spellStart"/>
      <w:r>
        <w:rPr>
          <w:rFonts w:ascii="Garamond" w:hAnsi="Garamond"/>
          <w:szCs w:val="24"/>
        </w:rPr>
        <w:t>Lagerqvist</w:t>
      </w:r>
      <w:proofErr w:type="spellEnd"/>
      <w:r>
        <w:rPr>
          <w:rFonts w:ascii="Garamond" w:hAnsi="Garamond"/>
          <w:szCs w:val="24"/>
        </w:rPr>
        <w:t xml:space="preserve"> 2009, et </w:t>
      </w:r>
      <w:proofErr w:type="spellStart"/>
      <w:r>
        <w:rPr>
          <w:rFonts w:ascii="Garamond" w:hAnsi="Garamond"/>
          <w:szCs w:val="24"/>
        </w:rPr>
        <w:t>Lamiroy</w:t>
      </w:r>
      <w:proofErr w:type="spellEnd"/>
      <w:r>
        <w:rPr>
          <w:rFonts w:ascii="Garamond" w:hAnsi="Garamond"/>
          <w:szCs w:val="24"/>
        </w:rPr>
        <w:t xml:space="preserve"> &amp; De Mulder 2011). </w:t>
      </w:r>
    </w:p>
    <w:p w14:paraId="16936F42" w14:textId="21F3BE98" w:rsidR="001616B8" w:rsidRDefault="001616B8" w:rsidP="0082114B">
      <w:pPr>
        <w:pStyle w:val="NoSpacing"/>
        <w:ind w:firstLine="7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Pourtant, certains usages de ce mode n’obéissent pas à ce schéma et semblent au contraire progresser. C’est notamment le cas dans les complétives après des verbes exprimant un sentiment : le subjonctif est aujourd’hui obligatoire dans ce type de contexte (</w:t>
      </w:r>
      <w:r w:rsidRPr="00CA2BC0">
        <w:rPr>
          <w:rFonts w:ascii="Garamond" w:hAnsi="Garamond"/>
          <w:i/>
          <w:szCs w:val="24"/>
        </w:rPr>
        <w:t>je suis triste que tu partes</w:t>
      </w:r>
      <w:r>
        <w:rPr>
          <w:rFonts w:ascii="Garamond" w:hAnsi="Garamond"/>
          <w:szCs w:val="24"/>
        </w:rPr>
        <w:t>), alors qu’en ancien français, on trouvait</w:t>
      </w:r>
      <w:r w:rsidR="004825D2">
        <w:rPr>
          <w:rFonts w:ascii="Garamond" w:hAnsi="Garamond"/>
          <w:szCs w:val="24"/>
        </w:rPr>
        <w:t xml:space="preserve"> aussi bien</w:t>
      </w:r>
      <w:r>
        <w:rPr>
          <w:rFonts w:ascii="Garamond" w:hAnsi="Garamond"/>
          <w:szCs w:val="24"/>
        </w:rPr>
        <w:t xml:space="preserve"> l’indicatif que le subjonctif :</w:t>
      </w:r>
    </w:p>
    <w:p w14:paraId="31200341" w14:textId="77777777" w:rsidR="001616B8" w:rsidRDefault="001616B8" w:rsidP="0082114B">
      <w:pPr>
        <w:pStyle w:val="NoSpacing"/>
        <w:ind w:firstLine="708"/>
        <w:jc w:val="both"/>
        <w:rPr>
          <w:rFonts w:ascii="Garamond" w:hAnsi="Garamond"/>
          <w:szCs w:val="24"/>
        </w:rPr>
      </w:pPr>
    </w:p>
    <w:p w14:paraId="1D1825F2" w14:textId="491E140B" w:rsidR="00513FB4" w:rsidRDefault="00513FB4" w:rsidP="00513FB4">
      <w:pPr>
        <w:pStyle w:val="NoSpacing"/>
        <w:jc w:val="both"/>
        <w:rPr>
          <w:rFonts w:ascii="Garamond" w:hAnsi="Garamond"/>
          <w:szCs w:val="24"/>
        </w:rPr>
      </w:pPr>
      <w:r w:rsidRPr="00513FB4">
        <w:rPr>
          <w:rFonts w:ascii="Garamond" w:hAnsi="Garamond"/>
          <w:szCs w:val="24"/>
        </w:rPr>
        <w:t>(2)</w:t>
      </w:r>
      <w:r>
        <w:rPr>
          <w:rFonts w:ascii="Garamond" w:hAnsi="Garamond"/>
          <w:i/>
          <w:szCs w:val="24"/>
        </w:rPr>
        <w:t xml:space="preserve"> </w:t>
      </w:r>
      <w:r>
        <w:rPr>
          <w:rFonts w:ascii="Garamond" w:hAnsi="Garamond"/>
          <w:i/>
          <w:szCs w:val="24"/>
        </w:rPr>
        <w:tab/>
      </w:r>
      <w:r w:rsidRPr="00953011">
        <w:rPr>
          <w:rFonts w:ascii="Garamond" w:hAnsi="Garamond"/>
          <w:i/>
          <w:szCs w:val="24"/>
        </w:rPr>
        <w:t xml:space="preserve">Mes ce me </w:t>
      </w:r>
      <w:proofErr w:type="spellStart"/>
      <w:r w:rsidRPr="000A2622">
        <w:rPr>
          <w:rFonts w:ascii="Garamond" w:hAnsi="Garamond"/>
          <w:i/>
          <w:smallCaps/>
          <w:szCs w:val="24"/>
        </w:rPr>
        <w:t>desabelist</w:t>
      </w:r>
      <w:proofErr w:type="spellEnd"/>
      <w:r w:rsidRPr="00953011">
        <w:rPr>
          <w:rFonts w:ascii="Garamond" w:hAnsi="Garamond"/>
          <w:i/>
          <w:szCs w:val="24"/>
        </w:rPr>
        <w:t xml:space="preserve"> mout</w:t>
      </w:r>
    </w:p>
    <w:p w14:paraId="427489A8" w14:textId="77777777" w:rsidR="00513FB4" w:rsidRPr="00953011" w:rsidRDefault="00513FB4" w:rsidP="00513FB4">
      <w:pPr>
        <w:pStyle w:val="NoSpacing"/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ab/>
      </w:r>
      <w:r w:rsidRPr="00953011">
        <w:rPr>
          <w:rFonts w:ascii="Garamond" w:hAnsi="Garamond"/>
          <w:i/>
          <w:szCs w:val="24"/>
        </w:rPr>
        <w:t>Qu’</w:t>
      </w:r>
      <w:proofErr w:type="spellStart"/>
      <w:r w:rsidRPr="00953011">
        <w:rPr>
          <w:rFonts w:ascii="Garamond" w:hAnsi="Garamond"/>
          <w:i/>
          <w:szCs w:val="24"/>
        </w:rPr>
        <w:t>eles</w:t>
      </w:r>
      <w:proofErr w:type="spellEnd"/>
      <w:r w:rsidRPr="00953011">
        <w:rPr>
          <w:rFonts w:ascii="Garamond" w:hAnsi="Garamond"/>
          <w:i/>
          <w:szCs w:val="24"/>
        </w:rPr>
        <w:t xml:space="preserve"> </w:t>
      </w:r>
      <w:r w:rsidRPr="000A2622">
        <w:rPr>
          <w:rFonts w:ascii="Garamond" w:hAnsi="Garamond"/>
          <w:b/>
          <w:i/>
          <w:szCs w:val="24"/>
        </w:rPr>
        <w:t>sont</w:t>
      </w:r>
      <w:r w:rsidRPr="00953011">
        <w:rPr>
          <w:rFonts w:ascii="Garamond" w:hAnsi="Garamond"/>
          <w:i/>
          <w:szCs w:val="24"/>
        </w:rPr>
        <w:t xml:space="preserve"> de cors et de </w:t>
      </w:r>
      <w:proofErr w:type="spellStart"/>
      <w:r w:rsidRPr="00953011">
        <w:rPr>
          <w:rFonts w:ascii="Garamond" w:hAnsi="Garamond"/>
          <w:i/>
          <w:szCs w:val="24"/>
        </w:rPr>
        <w:t>vout</w:t>
      </w:r>
      <w:proofErr w:type="spellEnd"/>
    </w:p>
    <w:p w14:paraId="0BD1DC95" w14:textId="77777777" w:rsidR="00513FB4" w:rsidRPr="00953011" w:rsidRDefault="00513FB4" w:rsidP="00513FB4">
      <w:pPr>
        <w:pStyle w:val="NoSpacing"/>
        <w:jc w:val="both"/>
        <w:rPr>
          <w:rFonts w:ascii="Garamond" w:hAnsi="Garamond"/>
          <w:i/>
          <w:szCs w:val="24"/>
        </w:rPr>
      </w:pPr>
      <w:r w:rsidRPr="00953011">
        <w:rPr>
          <w:rFonts w:ascii="Garamond" w:hAnsi="Garamond"/>
          <w:i/>
          <w:szCs w:val="24"/>
        </w:rPr>
        <w:tab/>
      </w:r>
      <w:proofErr w:type="spellStart"/>
      <w:r w:rsidRPr="00953011">
        <w:rPr>
          <w:rFonts w:ascii="Garamond" w:hAnsi="Garamond"/>
          <w:i/>
          <w:szCs w:val="24"/>
        </w:rPr>
        <w:t>Meigres</w:t>
      </w:r>
      <w:proofErr w:type="spellEnd"/>
      <w:r w:rsidRPr="00953011">
        <w:rPr>
          <w:rFonts w:ascii="Garamond" w:hAnsi="Garamond"/>
          <w:i/>
          <w:szCs w:val="24"/>
        </w:rPr>
        <w:t xml:space="preserve"> et pales et </w:t>
      </w:r>
      <w:proofErr w:type="spellStart"/>
      <w:r w:rsidRPr="00953011">
        <w:rPr>
          <w:rFonts w:ascii="Garamond" w:hAnsi="Garamond"/>
          <w:i/>
          <w:szCs w:val="24"/>
        </w:rPr>
        <w:t>dolorantes</w:t>
      </w:r>
      <w:proofErr w:type="spellEnd"/>
    </w:p>
    <w:p w14:paraId="0D07FED9" w14:textId="77777777" w:rsidR="00513FB4" w:rsidRDefault="00513FB4" w:rsidP="00513FB4">
      <w:pPr>
        <w:pStyle w:val="NoSpacing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 xml:space="preserve">« Il me déplaît beaucoup qu’elles </w:t>
      </w:r>
      <w:r w:rsidRPr="00695692">
        <w:rPr>
          <w:rFonts w:ascii="Garamond" w:hAnsi="Garamond"/>
          <w:b/>
          <w:szCs w:val="24"/>
        </w:rPr>
        <w:t>soient</w:t>
      </w:r>
      <w:r>
        <w:rPr>
          <w:rFonts w:ascii="Garamond" w:hAnsi="Garamond"/>
          <w:szCs w:val="24"/>
        </w:rPr>
        <w:t xml:space="preserve"> si affligées, si maigres de corps et de visage ! »</w:t>
      </w:r>
    </w:p>
    <w:p w14:paraId="06C87F96" w14:textId="77777777" w:rsidR="00513FB4" w:rsidRDefault="00513FB4" w:rsidP="00513FB4">
      <w:pPr>
        <w:pStyle w:val="NoSpacing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(</w:t>
      </w:r>
      <w:proofErr w:type="spellStart"/>
      <w:r>
        <w:rPr>
          <w:rFonts w:ascii="Garamond" w:hAnsi="Garamond"/>
          <w:i/>
          <w:szCs w:val="24"/>
        </w:rPr>
        <w:t>Yv</w:t>
      </w:r>
      <w:proofErr w:type="spellEnd"/>
      <w:r>
        <w:rPr>
          <w:rFonts w:ascii="Garamond" w:hAnsi="Garamond"/>
          <w:szCs w:val="24"/>
        </w:rPr>
        <w:t>., 5233, cité par Joly 1998 : 378)</w:t>
      </w:r>
    </w:p>
    <w:p w14:paraId="0D2DDA8B" w14:textId="77777777" w:rsidR="001616B8" w:rsidRDefault="001616B8" w:rsidP="0082114B">
      <w:pPr>
        <w:pStyle w:val="NoSpacing"/>
        <w:jc w:val="both"/>
        <w:rPr>
          <w:rFonts w:ascii="Garamond" w:hAnsi="Garamond"/>
          <w:szCs w:val="24"/>
        </w:rPr>
      </w:pPr>
    </w:p>
    <w:p w14:paraId="3325B46E" w14:textId="77777777" w:rsidR="001616B8" w:rsidRDefault="001616B8" w:rsidP="00A95EDF">
      <w:pPr>
        <w:pStyle w:val="NoSpacing"/>
        <w:ind w:firstLine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Dans notre communication, nous nous intéresserons au développement du subjonctif après les verbes de sentiment</w:t>
      </w:r>
      <w:r w:rsidR="0070083E">
        <w:rPr>
          <w:rFonts w:ascii="Garamond" w:hAnsi="Garamond"/>
          <w:szCs w:val="24"/>
        </w:rPr>
        <w:t>,</w:t>
      </w:r>
      <w:r>
        <w:rPr>
          <w:rFonts w:ascii="Garamond" w:hAnsi="Garamond"/>
          <w:szCs w:val="24"/>
        </w:rPr>
        <w:t xml:space="preserve"> qui fait donc exception au retrait généralisé du subjonctif en français et qui semble contrevenir au chemin de grammaticalisation de </w:t>
      </w:r>
      <w:proofErr w:type="spellStart"/>
      <w:r>
        <w:rPr>
          <w:rFonts w:ascii="Garamond" w:hAnsi="Garamond"/>
          <w:szCs w:val="24"/>
        </w:rPr>
        <w:t>Bybee</w:t>
      </w:r>
      <w:proofErr w:type="spellEnd"/>
      <w:r>
        <w:rPr>
          <w:rFonts w:ascii="Garamond" w:hAnsi="Garamond"/>
          <w:szCs w:val="24"/>
        </w:rPr>
        <w:t xml:space="preserve"> </w:t>
      </w:r>
      <w:r w:rsidRPr="000A2622">
        <w:rPr>
          <w:rFonts w:ascii="Garamond" w:hAnsi="Garamond"/>
          <w:i/>
          <w:szCs w:val="24"/>
        </w:rPr>
        <w:t>et al</w:t>
      </w:r>
      <w:r>
        <w:rPr>
          <w:rFonts w:ascii="Garamond" w:hAnsi="Garamond"/>
          <w:szCs w:val="24"/>
        </w:rPr>
        <w:t xml:space="preserve">. (1994) mentionné ci-dessus. </w:t>
      </w:r>
    </w:p>
    <w:p w14:paraId="4887A0B3" w14:textId="77777777" w:rsidR="001616B8" w:rsidRDefault="001616B8" w:rsidP="00A95EDF">
      <w:pPr>
        <w:pStyle w:val="NoSpacing"/>
        <w:ind w:firstLine="709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En nous appuyant sur la base </w:t>
      </w:r>
      <w:proofErr w:type="spellStart"/>
      <w:r w:rsidRPr="00CA2BC0">
        <w:rPr>
          <w:rFonts w:ascii="Garamond" w:hAnsi="Garamond"/>
          <w:i/>
          <w:szCs w:val="24"/>
        </w:rPr>
        <w:t>Frantext</w:t>
      </w:r>
      <w:proofErr w:type="spellEnd"/>
      <w:r>
        <w:rPr>
          <w:rFonts w:ascii="Garamond" w:hAnsi="Garamond"/>
          <w:szCs w:val="24"/>
        </w:rPr>
        <w:t xml:space="preserve">, nous examinerons les facteurs syntaxiques et lexicaux qui favorisent l’emploi du subjonctif après les verbes de sentiment et permettent donc d’y expliquer son expansion : (i) la généralisation des complétives en </w:t>
      </w:r>
      <w:r>
        <w:rPr>
          <w:rFonts w:ascii="Garamond" w:hAnsi="Garamond"/>
          <w:i/>
          <w:szCs w:val="24"/>
        </w:rPr>
        <w:t>que</w:t>
      </w:r>
      <w:r>
        <w:rPr>
          <w:rFonts w:ascii="Garamond" w:hAnsi="Garamond"/>
          <w:szCs w:val="24"/>
        </w:rPr>
        <w:t>, (ii) le remplacement de structures non personnelles (</w:t>
      </w:r>
      <w:r>
        <w:rPr>
          <w:rFonts w:ascii="Garamond" w:hAnsi="Garamond"/>
          <w:i/>
          <w:szCs w:val="24"/>
        </w:rPr>
        <w:t>c’est dommage que</w:t>
      </w:r>
      <w:r>
        <w:rPr>
          <w:rFonts w:ascii="Garamond" w:hAnsi="Garamond"/>
          <w:szCs w:val="24"/>
        </w:rPr>
        <w:t>) par des structures personnelles (</w:t>
      </w:r>
      <w:r>
        <w:rPr>
          <w:rFonts w:ascii="Garamond" w:hAnsi="Garamond"/>
          <w:i/>
          <w:szCs w:val="24"/>
        </w:rPr>
        <w:t>je suis triste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i/>
          <w:szCs w:val="24"/>
        </w:rPr>
        <w:t>marri</w:t>
      </w:r>
      <w:r>
        <w:rPr>
          <w:rFonts w:ascii="Garamond" w:hAnsi="Garamond"/>
          <w:szCs w:val="24"/>
        </w:rPr>
        <w:t xml:space="preserve">) et (iii) le développement de nouvelles expressions comme </w:t>
      </w:r>
      <w:r>
        <w:rPr>
          <w:rFonts w:ascii="Garamond" w:hAnsi="Garamond"/>
          <w:i/>
          <w:szCs w:val="24"/>
        </w:rPr>
        <w:t xml:space="preserve">trouver </w:t>
      </w:r>
      <w:proofErr w:type="spellStart"/>
      <w:r>
        <w:rPr>
          <w:rFonts w:ascii="Garamond" w:hAnsi="Garamond"/>
          <w:i/>
          <w:szCs w:val="24"/>
        </w:rPr>
        <w:t>estrange</w:t>
      </w:r>
      <w:proofErr w:type="spellEnd"/>
      <w:r>
        <w:rPr>
          <w:rFonts w:ascii="Garamond" w:hAnsi="Garamond"/>
          <w:szCs w:val="24"/>
        </w:rPr>
        <w:t xml:space="preserve"> pour remplacer les verbes hérités du latin fortement associés à l’indicatif. Nous proposerons ensuite une explication pragmatique à partir des observations de Lau (1970 : 39) et d’</w:t>
      </w:r>
      <w:proofErr w:type="spellStart"/>
      <w:r>
        <w:rPr>
          <w:rFonts w:ascii="Garamond" w:hAnsi="Garamond"/>
          <w:szCs w:val="24"/>
        </w:rPr>
        <w:t>Hunnius</w:t>
      </w:r>
      <w:proofErr w:type="spellEnd"/>
      <w:r>
        <w:rPr>
          <w:rFonts w:ascii="Garamond" w:hAnsi="Garamond"/>
          <w:szCs w:val="24"/>
        </w:rPr>
        <w:t xml:space="preserve"> (1976). Nous défendrons ainsi l’hypothèse selon laquelle ce « nouvel » emploi du subjonctif résulte d’une stratégie rhétorique (voir </w:t>
      </w:r>
      <w:proofErr w:type="spellStart"/>
      <w:r>
        <w:rPr>
          <w:rFonts w:ascii="Garamond" w:hAnsi="Garamond"/>
          <w:szCs w:val="24"/>
        </w:rPr>
        <w:t>e.a</w:t>
      </w:r>
      <w:proofErr w:type="spellEnd"/>
      <w:r>
        <w:rPr>
          <w:rFonts w:ascii="Garamond" w:hAnsi="Garamond"/>
          <w:szCs w:val="24"/>
        </w:rPr>
        <w:t xml:space="preserve">. </w:t>
      </w:r>
      <w:proofErr w:type="spellStart"/>
      <w:r>
        <w:rPr>
          <w:rFonts w:ascii="Garamond" w:hAnsi="Garamond"/>
          <w:szCs w:val="24"/>
        </w:rPr>
        <w:t>Detges</w:t>
      </w:r>
      <w:proofErr w:type="spellEnd"/>
      <w:r>
        <w:rPr>
          <w:rFonts w:ascii="Garamond" w:hAnsi="Garamond"/>
          <w:szCs w:val="24"/>
        </w:rPr>
        <w:t xml:space="preserve"> 1999) et s’est ensuite répandu conformément aux processus de routinisation et de formation de patrons décrits entre autres par </w:t>
      </w:r>
      <w:proofErr w:type="spellStart"/>
      <w:r>
        <w:rPr>
          <w:rFonts w:ascii="Garamond" w:hAnsi="Garamond"/>
          <w:szCs w:val="24"/>
        </w:rPr>
        <w:t>Bybee</w:t>
      </w:r>
      <w:proofErr w:type="spellEnd"/>
      <w:r>
        <w:rPr>
          <w:rFonts w:ascii="Garamond" w:hAnsi="Garamond"/>
          <w:szCs w:val="24"/>
        </w:rPr>
        <w:t xml:space="preserve"> (2010).</w:t>
      </w:r>
    </w:p>
    <w:p w14:paraId="162CCA79" w14:textId="77777777" w:rsidR="001616B8" w:rsidRPr="00A402E3" w:rsidRDefault="001616B8" w:rsidP="0082114B">
      <w:pPr>
        <w:rPr>
          <w:rFonts w:ascii="Garamond" w:hAnsi="Garamond"/>
          <w:b/>
          <w:sz w:val="24"/>
          <w:szCs w:val="24"/>
        </w:rPr>
      </w:pPr>
    </w:p>
    <w:p w14:paraId="4F603675" w14:textId="77777777" w:rsidR="001616B8" w:rsidRPr="0082114B" w:rsidRDefault="001616B8" w:rsidP="0082114B">
      <w:pPr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82114B">
        <w:rPr>
          <w:rFonts w:ascii="Garamond" w:hAnsi="Garamond"/>
          <w:b/>
          <w:sz w:val="24"/>
          <w:szCs w:val="24"/>
          <w:lang w:val="en-US"/>
        </w:rPr>
        <w:t>Références</w:t>
      </w:r>
      <w:proofErr w:type="spellEnd"/>
    </w:p>
    <w:p w14:paraId="391610AE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 w:val="24"/>
          <w:szCs w:val="24"/>
          <w:lang w:val="en-US"/>
        </w:rPr>
      </w:pPr>
      <w:proofErr w:type="spellStart"/>
      <w:r>
        <w:rPr>
          <w:rFonts w:ascii="Garamond" w:hAnsi="Garamond"/>
          <w:bCs/>
          <w:szCs w:val="24"/>
          <w:lang w:val="en-US"/>
        </w:rPr>
        <w:t>Bybee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Joan, Perkins, Revere &amp; </w:t>
      </w:r>
      <w:proofErr w:type="spellStart"/>
      <w:r>
        <w:rPr>
          <w:rFonts w:ascii="Garamond" w:hAnsi="Garamond"/>
          <w:bCs/>
          <w:szCs w:val="24"/>
          <w:lang w:val="en-US"/>
        </w:rPr>
        <w:t>Pagliuca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William (1994). </w:t>
      </w:r>
      <w:r>
        <w:rPr>
          <w:rFonts w:ascii="Garamond" w:hAnsi="Garamond"/>
          <w:bCs/>
          <w:i/>
          <w:szCs w:val="24"/>
          <w:lang w:val="en-US"/>
        </w:rPr>
        <w:t>The Evolution of Grammar. Tense, Aspect, and Modality in the Languages of the World.</w:t>
      </w:r>
      <w:r>
        <w:rPr>
          <w:rFonts w:ascii="Garamond" w:hAnsi="Garamond"/>
          <w:bCs/>
          <w:szCs w:val="24"/>
          <w:lang w:val="en-US"/>
        </w:rPr>
        <w:t xml:space="preserve"> </w:t>
      </w:r>
      <w:smartTag w:uri="urn:schemas-microsoft-com:office:smarttags" w:element="City">
        <w:r>
          <w:rPr>
            <w:rFonts w:ascii="Garamond" w:hAnsi="Garamond"/>
            <w:bCs/>
            <w:szCs w:val="24"/>
            <w:lang w:val="en-US"/>
          </w:rPr>
          <w:t>Chicago</w:t>
        </w:r>
      </w:smartTag>
      <w:r>
        <w:rPr>
          <w:rFonts w:ascii="Garamond" w:hAnsi="Garamond"/>
          <w:bCs/>
          <w:szCs w:val="24"/>
          <w:lang w:val="en-US"/>
        </w:rPr>
        <w:t xml:space="preserve"> et </w:t>
      </w:r>
      <w:proofErr w:type="spellStart"/>
      <w:proofErr w:type="gramStart"/>
      <w:r>
        <w:rPr>
          <w:rFonts w:ascii="Garamond" w:hAnsi="Garamond"/>
          <w:bCs/>
          <w:szCs w:val="24"/>
          <w:lang w:val="en-US"/>
        </w:rPr>
        <w:t>Londres</w:t>
      </w:r>
      <w:proofErr w:type="spellEnd"/>
      <w:r>
        <w:rPr>
          <w:rFonts w:ascii="Garamond" w:hAnsi="Garamond"/>
          <w:bCs/>
          <w:szCs w:val="24"/>
          <w:lang w:val="en-US"/>
        </w:rPr>
        <w:t> :</w:t>
      </w:r>
      <w:proofErr w:type="gramEnd"/>
      <w:r>
        <w:rPr>
          <w:rFonts w:ascii="Garamond" w:hAnsi="Garamond"/>
          <w:bCs/>
          <w:szCs w:val="24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bCs/>
              <w:szCs w:val="24"/>
              <w:lang w:val="en-US"/>
            </w:rPr>
            <w:t>University</w:t>
          </w:r>
        </w:smartTag>
        <w:r>
          <w:rPr>
            <w:rFonts w:ascii="Garamond" w:hAnsi="Garamond"/>
            <w:bCs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bCs/>
              <w:szCs w:val="24"/>
              <w:lang w:val="en-US"/>
            </w:rPr>
            <w:t>Chicago</w:t>
          </w:r>
        </w:smartTag>
      </w:smartTag>
      <w:r>
        <w:rPr>
          <w:rFonts w:ascii="Garamond" w:hAnsi="Garamond"/>
          <w:bCs/>
          <w:szCs w:val="24"/>
          <w:lang w:val="en-US"/>
        </w:rPr>
        <w:t xml:space="preserve"> Press. </w:t>
      </w:r>
    </w:p>
    <w:p w14:paraId="1E8AA573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en-US"/>
        </w:rPr>
      </w:pPr>
      <w:proofErr w:type="spellStart"/>
      <w:r>
        <w:rPr>
          <w:rFonts w:ascii="Garamond" w:hAnsi="Garamond"/>
          <w:bCs/>
          <w:szCs w:val="24"/>
          <w:lang w:val="en-US"/>
        </w:rPr>
        <w:t>Bybee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Joan (2010). </w:t>
      </w:r>
      <w:r>
        <w:rPr>
          <w:rFonts w:ascii="Garamond" w:hAnsi="Garamond"/>
          <w:bCs/>
          <w:i/>
          <w:szCs w:val="24"/>
          <w:lang w:val="en-US"/>
        </w:rPr>
        <w:t>Language, Usage and Cognition</w:t>
      </w:r>
      <w:r>
        <w:rPr>
          <w:rFonts w:ascii="Garamond" w:hAnsi="Garamond"/>
          <w:bCs/>
          <w:szCs w:val="24"/>
          <w:lang w:val="en-US"/>
        </w:rPr>
        <w:t xml:space="preserve">. </w:t>
      </w:r>
      <w:smartTag w:uri="urn:schemas-microsoft-com:office:smarttags" w:element="City">
        <w:r>
          <w:rPr>
            <w:rFonts w:ascii="Garamond" w:hAnsi="Garamond"/>
            <w:bCs/>
            <w:szCs w:val="24"/>
            <w:lang w:val="en-US"/>
          </w:rPr>
          <w:t>Cambridge</w:t>
        </w:r>
      </w:smartTag>
      <w:r>
        <w:rPr>
          <w:rFonts w:ascii="Garamond" w:hAnsi="Garamond"/>
          <w:bCs/>
          <w:szCs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Cs/>
              <w:szCs w:val="24"/>
              <w:lang w:val="en-US"/>
            </w:rPr>
            <w:t>Cambridge</w:t>
          </w:r>
        </w:smartTag>
        <w:r>
          <w:rPr>
            <w:rFonts w:ascii="Garamond" w:hAnsi="Garamond"/>
            <w:bCs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Cs/>
              <w:szCs w:val="24"/>
              <w:lang w:val="en-US"/>
            </w:rPr>
            <w:t>University</w:t>
          </w:r>
        </w:smartTag>
      </w:smartTag>
      <w:r>
        <w:rPr>
          <w:rFonts w:ascii="Garamond" w:hAnsi="Garamond"/>
          <w:bCs/>
          <w:szCs w:val="24"/>
          <w:lang w:val="en-US"/>
        </w:rPr>
        <w:t xml:space="preserve"> Press. </w:t>
      </w:r>
    </w:p>
    <w:p w14:paraId="47F9F622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e-DE"/>
        </w:rPr>
      </w:pPr>
      <w:r>
        <w:rPr>
          <w:rFonts w:ascii="Garamond" w:hAnsi="Garamond"/>
          <w:bCs/>
          <w:szCs w:val="24"/>
          <w:lang w:val="da-DK"/>
        </w:rPr>
        <w:t xml:space="preserve">Detges, Ulrich (1999). </w:t>
      </w:r>
      <w:r>
        <w:rPr>
          <w:rFonts w:ascii="Garamond" w:hAnsi="Garamond"/>
          <w:bCs/>
          <w:szCs w:val="24"/>
          <w:lang w:val="de-DE"/>
        </w:rPr>
        <w:t xml:space="preserve">Wie entsteht Grammatik? Kognitive und pragmatische Determinanten der Grammatikalisierung von Tempusmarkern. In Lang, Jürgen &amp; Neumann-Holzschuh, Ingrid, éds. </w:t>
      </w:r>
      <w:r>
        <w:rPr>
          <w:rFonts w:ascii="Garamond" w:hAnsi="Garamond"/>
          <w:bCs/>
          <w:i/>
          <w:szCs w:val="24"/>
          <w:lang w:val="de-DE"/>
        </w:rPr>
        <w:t>Reanalyse und Grammatikalisierung in den romanischen Sprachen</w:t>
      </w:r>
      <w:r>
        <w:rPr>
          <w:rFonts w:ascii="Garamond" w:hAnsi="Garamond"/>
          <w:bCs/>
          <w:szCs w:val="24"/>
          <w:lang w:val="de-DE"/>
        </w:rPr>
        <w:t xml:space="preserve">. Tübingen: Niemeyer, 31-52. </w:t>
      </w:r>
    </w:p>
    <w:p w14:paraId="5B644985" w14:textId="77777777" w:rsidR="004825D2" w:rsidRDefault="004825D2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e-DE"/>
        </w:rPr>
      </w:pPr>
      <w:r>
        <w:rPr>
          <w:rFonts w:ascii="Garamond" w:hAnsi="Garamond"/>
          <w:bCs/>
          <w:szCs w:val="24"/>
          <w:lang w:val="de-DE"/>
        </w:rPr>
        <w:t>Dreer, Igor</w:t>
      </w:r>
      <w:r w:rsidR="00813D02">
        <w:rPr>
          <w:rFonts w:ascii="Garamond" w:hAnsi="Garamond"/>
          <w:bCs/>
          <w:szCs w:val="24"/>
          <w:lang w:val="de-DE"/>
        </w:rPr>
        <w:t xml:space="preserve"> (2007). </w:t>
      </w:r>
      <w:r w:rsidR="00813D02" w:rsidRPr="00513FB4">
        <w:rPr>
          <w:rFonts w:ascii="Garamond" w:hAnsi="Garamond"/>
          <w:bCs/>
          <w:i/>
          <w:szCs w:val="24"/>
          <w:lang w:val="de-DE"/>
        </w:rPr>
        <w:t>Expressing the Same by the Different. The Subjunctive vs the Indicative in French</w:t>
      </w:r>
      <w:r w:rsidR="00813D02">
        <w:rPr>
          <w:rFonts w:ascii="Garamond" w:hAnsi="Garamond"/>
          <w:bCs/>
          <w:szCs w:val="24"/>
          <w:lang w:val="de-DE"/>
        </w:rPr>
        <w:t>. Amsterdam: John Benjamins.</w:t>
      </w:r>
    </w:p>
    <w:p w14:paraId="316564FC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e-DE"/>
        </w:rPr>
      </w:pPr>
      <w:r>
        <w:rPr>
          <w:rFonts w:ascii="Garamond" w:hAnsi="Garamond"/>
          <w:bCs/>
          <w:szCs w:val="24"/>
          <w:lang w:val="de-DE"/>
        </w:rPr>
        <w:t xml:space="preserve">Hunnius, Klaus (1976). </w:t>
      </w:r>
      <w:r>
        <w:rPr>
          <w:rFonts w:ascii="Garamond" w:hAnsi="Garamond"/>
          <w:bCs/>
          <w:i/>
          <w:szCs w:val="24"/>
          <w:lang w:val="de-DE"/>
        </w:rPr>
        <w:t>Der Modusgebrauch nach den Verben der Gemütsbewegung im Französischen</w:t>
      </w:r>
      <w:r>
        <w:rPr>
          <w:rFonts w:ascii="Garamond" w:hAnsi="Garamond"/>
          <w:bCs/>
          <w:szCs w:val="24"/>
          <w:lang w:val="de-DE"/>
        </w:rPr>
        <w:t xml:space="preserve">. Heidelberg : Carl Winter Universitätsverlag. </w:t>
      </w:r>
    </w:p>
    <w:p w14:paraId="19DFE015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e-DE"/>
        </w:rPr>
      </w:pPr>
      <w:r>
        <w:rPr>
          <w:rFonts w:ascii="Garamond" w:hAnsi="Garamond"/>
          <w:bCs/>
          <w:szCs w:val="24"/>
          <w:lang w:val="de-DE"/>
        </w:rPr>
        <w:t xml:space="preserve">Joly, Geneviève (1998). </w:t>
      </w:r>
      <w:r>
        <w:rPr>
          <w:rFonts w:ascii="Garamond" w:hAnsi="Garamond"/>
          <w:bCs/>
          <w:i/>
          <w:szCs w:val="24"/>
          <w:lang w:val="de-DE"/>
        </w:rPr>
        <w:t>Précis d’ancien français</w:t>
      </w:r>
      <w:r>
        <w:rPr>
          <w:rFonts w:ascii="Garamond" w:hAnsi="Garamond"/>
          <w:bCs/>
          <w:szCs w:val="24"/>
          <w:lang w:val="de-DE"/>
        </w:rPr>
        <w:t xml:space="preserve">. Paris : Armand Colin. </w:t>
      </w:r>
    </w:p>
    <w:p w14:paraId="3CA43283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e-DE"/>
        </w:rPr>
      </w:pPr>
      <w:r>
        <w:rPr>
          <w:rFonts w:ascii="Garamond" w:hAnsi="Garamond"/>
          <w:bCs/>
          <w:szCs w:val="24"/>
          <w:lang w:val="de-DE"/>
        </w:rPr>
        <w:t xml:space="preserve">Lau, Gerhard (1970). </w:t>
      </w:r>
      <w:r>
        <w:rPr>
          <w:rFonts w:ascii="Garamond" w:hAnsi="Garamond"/>
          <w:bCs/>
          <w:i/>
          <w:szCs w:val="24"/>
          <w:lang w:val="de-DE"/>
        </w:rPr>
        <w:t>Studien zur Geschichte des Konjunktivs im Französischen</w:t>
      </w:r>
      <w:r>
        <w:rPr>
          <w:rFonts w:ascii="Garamond" w:hAnsi="Garamond"/>
          <w:bCs/>
          <w:szCs w:val="24"/>
          <w:lang w:val="de-DE"/>
        </w:rPr>
        <w:t xml:space="preserve">. München : Wilhelm Fink Verlag. </w:t>
      </w:r>
    </w:p>
    <w:p w14:paraId="02329DDD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en-US"/>
        </w:rPr>
      </w:pPr>
      <w:proofErr w:type="spellStart"/>
      <w:r w:rsidRPr="00A402E3">
        <w:rPr>
          <w:rFonts w:ascii="Garamond" w:hAnsi="Garamond"/>
          <w:bCs/>
          <w:szCs w:val="24"/>
          <w:lang w:val="en-GB"/>
        </w:rPr>
        <w:t>Lamiroy</w:t>
      </w:r>
      <w:proofErr w:type="spellEnd"/>
      <w:r w:rsidRPr="00A402E3">
        <w:rPr>
          <w:rFonts w:ascii="Garamond" w:hAnsi="Garamond"/>
          <w:bCs/>
          <w:szCs w:val="24"/>
          <w:lang w:val="en-GB"/>
        </w:rPr>
        <w:t xml:space="preserve">, </w:t>
      </w:r>
      <w:proofErr w:type="spellStart"/>
      <w:r w:rsidRPr="00A402E3">
        <w:rPr>
          <w:rFonts w:ascii="Garamond" w:hAnsi="Garamond"/>
          <w:bCs/>
          <w:szCs w:val="24"/>
          <w:lang w:val="en-GB"/>
        </w:rPr>
        <w:t>Béatrice</w:t>
      </w:r>
      <w:proofErr w:type="spellEnd"/>
      <w:r w:rsidRPr="00A402E3">
        <w:rPr>
          <w:rFonts w:ascii="Garamond" w:hAnsi="Garamond"/>
          <w:bCs/>
          <w:szCs w:val="24"/>
          <w:lang w:val="en-GB"/>
        </w:rPr>
        <w:t xml:space="preserve"> &amp; De Mulder, Walter (2011). </w:t>
      </w:r>
      <w:r>
        <w:rPr>
          <w:rFonts w:ascii="Garamond" w:hAnsi="Garamond"/>
          <w:bCs/>
          <w:szCs w:val="24"/>
          <w:lang w:val="en-US"/>
        </w:rPr>
        <w:t xml:space="preserve">Degrees of </w:t>
      </w:r>
      <w:proofErr w:type="spellStart"/>
      <w:r>
        <w:rPr>
          <w:rFonts w:ascii="Garamond" w:hAnsi="Garamond"/>
          <w:bCs/>
          <w:szCs w:val="24"/>
          <w:lang w:val="en-US"/>
        </w:rPr>
        <w:t>Grammaticalization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 across Languages. In </w:t>
      </w:r>
      <w:proofErr w:type="spellStart"/>
      <w:r>
        <w:rPr>
          <w:rFonts w:ascii="Garamond" w:hAnsi="Garamond"/>
          <w:bCs/>
          <w:szCs w:val="24"/>
          <w:lang w:val="en-US"/>
        </w:rPr>
        <w:t>Narrog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bCs/>
          <w:szCs w:val="24"/>
          <w:lang w:val="en-US"/>
        </w:rPr>
        <w:t>Heiko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 &amp; Heine, Bernd, </w:t>
      </w:r>
      <w:proofErr w:type="spellStart"/>
      <w:r>
        <w:rPr>
          <w:rFonts w:ascii="Garamond" w:hAnsi="Garamond"/>
          <w:bCs/>
          <w:szCs w:val="24"/>
          <w:lang w:val="en-US"/>
        </w:rPr>
        <w:t>éds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. </w:t>
      </w:r>
      <w:r>
        <w:rPr>
          <w:rFonts w:ascii="Garamond" w:hAnsi="Garamond"/>
          <w:bCs/>
          <w:i/>
          <w:szCs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Cs/>
              <w:i/>
              <w:szCs w:val="24"/>
              <w:lang w:val="en-US"/>
            </w:rPr>
            <w:t>Oxford</w:t>
          </w:r>
        </w:smartTag>
      </w:smartTag>
      <w:r>
        <w:rPr>
          <w:rFonts w:ascii="Garamond" w:hAnsi="Garamond"/>
          <w:bCs/>
          <w:i/>
          <w:szCs w:val="24"/>
          <w:lang w:val="en-US"/>
        </w:rPr>
        <w:t xml:space="preserve"> Handbook of </w:t>
      </w:r>
      <w:proofErr w:type="spellStart"/>
      <w:r>
        <w:rPr>
          <w:rFonts w:ascii="Garamond" w:hAnsi="Garamond"/>
          <w:bCs/>
          <w:i/>
          <w:szCs w:val="24"/>
          <w:lang w:val="en-US"/>
        </w:rPr>
        <w:t>Grammaticalization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. </w:t>
      </w:r>
      <w:smartTag w:uri="urn:schemas-microsoft-com:office:smarttags" w:element="City">
        <w:r>
          <w:rPr>
            <w:rFonts w:ascii="Garamond" w:hAnsi="Garamond"/>
            <w:bCs/>
            <w:szCs w:val="24"/>
            <w:lang w:val="en-US"/>
          </w:rPr>
          <w:t>Oxford</w:t>
        </w:r>
      </w:smartTag>
      <w:r>
        <w:rPr>
          <w:rFonts w:ascii="Garamond" w:hAnsi="Garamond"/>
          <w:bCs/>
          <w:szCs w:val="24"/>
          <w:lang w:val="en-US"/>
        </w:rPr>
        <w:t xml:space="preserve"> :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Cs/>
              <w:szCs w:val="24"/>
              <w:lang w:val="en-US"/>
            </w:rPr>
            <w:t>Oxford</w:t>
          </w:r>
        </w:smartTag>
        <w:r>
          <w:rPr>
            <w:rFonts w:ascii="Garamond" w:hAnsi="Garamond"/>
            <w:bCs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Cs/>
              <w:szCs w:val="24"/>
              <w:lang w:val="en-US"/>
            </w:rPr>
            <w:t>University</w:t>
          </w:r>
        </w:smartTag>
      </w:smartTag>
      <w:r>
        <w:rPr>
          <w:rFonts w:ascii="Garamond" w:hAnsi="Garamond"/>
          <w:bCs/>
          <w:szCs w:val="24"/>
          <w:lang w:val="en-US"/>
        </w:rPr>
        <w:t xml:space="preserve"> Press, 302-317. </w:t>
      </w:r>
    </w:p>
    <w:p w14:paraId="6ADEEBB1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  <w:lang w:val="da-DK"/>
        </w:rPr>
      </w:pPr>
      <w:proofErr w:type="spellStart"/>
      <w:r>
        <w:rPr>
          <w:rFonts w:ascii="Garamond" w:hAnsi="Garamond"/>
          <w:bCs/>
          <w:szCs w:val="24"/>
          <w:lang w:val="en-US"/>
        </w:rPr>
        <w:t>Magni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bCs/>
          <w:szCs w:val="24"/>
          <w:lang w:val="en-US"/>
        </w:rPr>
        <w:t>Elisabetta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 (2009). Mood and Modality. In : </w:t>
      </w:r>
      <w:proofErr w:type="spellStart"/>
      <w:r>
        <w:rPr>
          <w:rFonts w:ascii="Garamond" w:hAnsi="Garamond"/>
          <w:bCs/>
          <w:szCs w:val="24"/>
          <w:lang w:val="en-US"/>
        </w:rPr>
        <w:t>Baldi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Philip &amp; </w:t>
      </w:r>
      <w:proofErr w:type="spellStart"/>
      <w:r>
        <w:rPr>
          <w:rFonts w:ascii="Garamond" w:hAnsi="Garamond"/>
          <w:bCs/>
          <w:szCs w:val="24"/>
          <w:lang w:val="en-US"/>
        </w:rPr>
        <w:t>Cuzzolin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bCs/>
          <w:szCs w:val="24"/>
          <w:lang w:val="en-US"/>
        </w:rPr>
        <w:t>Pierluigi</w:t>
      </w:r>
      <w:proofErr w:type="spellEnd"/>
      <w:r>
        <w:rPr>
          <w:rFonts w:ascii="Garamond" w:hAnsi="Garamond"/>
          <w:bCs/>
          <w:szCs w:val="24"/>
          <w:lang w:val="en-US"/>
        </w:rPr>
        <w:t xml:space="preserve">. </w:t>
      </w:r>
      <w:r>
        <w:rPr>
          <w:rFonts w:ascii="Garamond" w:hAnsi="Garamond"/>
          <w:bCs/>
          <w:i/>
          <w:szCs w:val="24"/>
          <w:lang w:val="en-US"/>
        </w:rPr>
        <w:t>New Perspectives on Historical Latin Syntax 2. Constituent Syntax : Adverbial Phrases, Adverbs, Mood, Tense.</w:t>
      </w:r>
      <w:r>
        <w:rPr>
          <w:rFonts w:ascii="Garamond" w:hAnsi="Garamond"/>
          <w:bCs/>
          <w:szCs w:val="24"/>
          <w:lang w:val="en-US"/>
        </w:rPr>
        <w:t xml:space="preserve"> </w:t>
      </w:r>
      <w:r>
        <w:rPr>
          <w:rFonts w:ascii="Garamond" w:hAnsi="Garamond"/>
          <w:bCs/>
          <w:szCs w:val="24"/>
          <w:lang w:val="da-DK"/>
        </w:rPr>
        <w:t xml:space="preserve">Berlin / New York : de Gruyter, 193-275. </w:t>
      </w:r>
    </w:p>
    <w:p w14:paraId="0504DF4A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  <w:lang w:val="da-DK"/>
        </w:rPr>
        <w:lastRenderedPageBreak/>
        <w:t xml:space="preserve">Lagerqvist, Hans (2009). </w:t>
      </w:r>
      <w:r>
        <w:rPr>
          <w:rFonts w:ascii="Garamond" w:hAnsi="Garamond"/>
          <w:bCs/>
          <w:i/>
          <w:szCs w:val="24"/>
        </w:rPr>
        <w:t>Le subjonctif en français moderne. Esquisse d'une théorie  modale</w:t>
      </w:r>
      <w:r>
        <w:rPr>
          <w:rFonts w:ascii="Garamond" w:hAnsi="Garamond"/>
          <w:bCs/>
          <w:szCs w:val="24"/>
        </w:rPr>
        <w:t xml:space="preserve">, Paris: PUPS. </w:t>
      </w:r>
      <w:proofErr w:type="spellStart"/>
      <w:r>
        <w:rPr>
          <w:rFonts w:ascii="Garamond" w:hAnsi="Garamond"/>
          <w:bCs/>
          <w:szCs w:val="24"/>
        </w:rPr>
        <w:t>Loengarov</w:t>
      </w:r>
      <w:proofErr w:type="spellEnd"/>
      <w:r>
        <w:rPr>
          <w:rFonts w:ascii="Garamond" w:hAnsi="Garamond"/>
          <w:bCs/>
          <w:szCs w:val="24"/>
        </w:rPr>
        <w:t xml:space="preserve">, Alexander (2006). </w:t>
      </w:r>
      <w:r>
        <w:rPr>
          <w:rFonts w:ascii="Garamond" w:hAnsi="Garamond"/>
          <w:bCs/>
          <w:i/>
          <w:szCs w:val="24"/>
        </w:rPr>
        <w:t>L'alternance indicatif/subjonctif dans les langues romanes. Motivation sémantico-pragmatique et grammaticalisation</w:t>
      </w:r>
      <w:r>
        <w:rPr>
          <w:rFonts w:ascii="Garamond" w:hAnsi="Garamond"/>
          <w:bCs/>
          <w:szCs w:val="24"/>
        </w:rPr>
        <w:t xml:space="preserve">. Thèse de doctorat. Université de Leuven. </w:t>
      </w:r>
    </w:p>
    <w:p w14:paraId="26F6D959" w14:textId="77777777" w:rsidR="001616B8" w:rsidRDefault="001616B8" w:rsidP="0082114B">
      <w:pPr>
        <w:pStyle w:val="NoSpacing"/>
        <w:ind w:left="357" w:hanging="357"/>
        <w:jc w:val="both"/>
        <w:rPr>
          <w:rFonts w:ascii="Garamond" w:hAnsi="Garamond"/>
          <w:bCs/>
          <w:szCs w:val="24"/>
        </w:rPr>
      </w:pPr>
      <w:proofErr w:type="spellStart"/>
      <w:r>
        <w:rPr>
          <w:rFonts w:ascii="Garamond" w:hAnsi="Garamond"/>
          <w:bCs/>
          <w:szCs w:val="24"/>
        </w:rPr>
        <w:t>Mellet</w:t>
      </w:r>
      <w:proofErr w:type="spellEnd"/>
      <w:r>
        <w:rPr>
          <w:rFonts w:ascii="Garamond" w:hAnsi="Garamond"/>
          <w:bCs/>
          <w:szCs w:val="24"/>
        </w:rPr>
        <w:t xml:space="preserve">, Sylvie (1994). Le subjonctif. In : </w:t>
      </w:r>
      <w:proofErr w:type="spellStart"/>
      <w:r>
        <w:rPr>
          <w:rFonts w:ascii="Garamond" w:hAnsi="Garamond"/>
          <w:bCs/>
          <w:szCs w:val="24"/>
        </w:rPr>
        <w:t>Mellet</w:t>
      </w:r>
      <w:proofErr w:type="spellEnd"/>
      <w:r>
        <w:rPr>
          <w:rFonts w:ascii="Garamond" w:hAnsi="Garamond"/>
          <w:bCs/>
          <w:szCs w:val="24"/>
        </w:rPr>
        <w:t xml:space="preserve">, S., Joffre M.D. &amp; </w:t>
      </w:r>
      <w:proofErr w:type="spellStart"/>
      <w:r>
        <w:rPr>
          <w:rFonts w:ascii="Garamond" w:hAnsi="Garamond"/>
          <w:bCs/>
          <w:szCs w:val="24"/>
        </w:rPr>
        <w:t>Serbat</w:t>
      </w:r>
      <w:proofErr w:type="spellEnd"/>
      <w:r>
        <w:rPr>
          <w:rFonts w:ascii="Garamond" w:hAnsi="Garamond"/>
          <w:bCs/>
          <w:szCs w:val="24"/>
        </w:rPr>
        <w:t xml:space="preserve"> G. </w:t>
      </w:r>
      <w:r>
        <w:rPr>
          <w:rFonts w:ascii="Garamond" w:hAnsi="Garamond"/>
          <w:bCs/>
          <w:i/>
          <w:szCs w:val="24"/>
        </w:rPr>
        <w:t>Grammaire fondamentale du latin. Le signifié du verbe</w:t>
      </w:r>
      <w:r>
        <w:rPr>
          <w:rFonts w:ascii="Garamond" w:hAnsi="Garamond"/>
          <w:bCs/>
          <w:szCs w:val="24"/>
        </w:rPr>
        <w:t>. Louvain : Peeters, 173-209.</w:t>
      </w:r>
    </w:p>
    <w:p w14:paraId="66FCFF66" w14:textId="77777777" w:rsidR="001616B8" w:rsidRPr="000F5471" w:rsidRDefault="001616B8" w:rsidP="0082114B">
      <w:pPr>
        <w:pStyle w:val="NoSpacing"/>
        <w:spacing w:line="360" w:lineRule="auto"/>
        <w:jc w:val="both"/>
        <w:rPr>
          <w:sz w:val="20"/>
          <w:szCs w:val="20"/>
        </w:rPr>
      </w:pPr>
    </w:p>
    <w:sectPr w:rsidR="001616B8" w:rsidRPr="000F5471" w:rsidSect="000B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7895D8" w15:done="0"/>
  <w15:commentEx w15:paraId="5F197435" w15:done="0"/>
  <w15:commentEx w15:paraId="6E8BEE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A98"/>
    <w:multiLevelType w:val="hybridMultilevel"/>
    <w:tmpl w:val="AF26F070"/>
    <w:lvl w:ilvl="0" w:tplc="A36854E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478F"/>
    <w:multiLevelType w:val="hybridMultilevel"/>
    <w:tmpl w:val="6568C770"/>
    <w:lvl w:ilvl="0" w:tplc="B54221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 Mulder Walter">
    <w15:presenceInfo w15:providerId="AD" w15:userId="S-1-5-21-2935066115-4120494562-2009044711-8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C"/>
    <w:rsid w:val="00044696"/>
    <w:rsid w:val="00095244"/>
    <w:rsid w:val="000A2622"/>
    <w:rsid w:val="000A3EC1"/>
    <w:rsid w:val="000B190F"/>
    <w:rsid w:val="000B77AC"/>
    <w:rsid w:val="000C1744"/>
    <w:rsid w:val="000D16F2"/>
    <w:rsid w:val="000F5471"/>
    <w:rsid w:val="001270F4"/>
    <w:rsid w:val="001616B8"/>
    <w:rsid w:val="00190CC5"/>
    <w:rsid w:val="001A5832"/>
    <w:rsid w:val="001C17BD"/>
    <w:rsid w:val="001D40C5"/>
    <w:rsid w:val="001F41EC"/>
    <w:rsid w:val="002B3598"/>
    <w:rsid w:val="002B6053"/>
    <w:rsid w:val="002B6747"/>
    <w:rsid w:val="003025E2"/>
    <w:rsid w:val="003218E4"/>
    <w:rsid w:val="00326FD2"/>
    <w:rsid w:val="00352C63"/>
    <w:rsid w:val="00364C6A"/>
    <w:rsid w:val="00365EA3"/>
    <w:rsid w:val="00365F7A"/>
    <w:rsid w:val="00370241"/>
    <w:rsid w:val="003B0436"/>
    <w:rsid w:val="00416BCD"/>
    <w:rsid w:val="00476875"/>
    <w:rsid w:val="004825D2"/>
    <w:rsid w:val="004C2037"/>
    <w:rsid w:val="004D5E80"/>
    <w:rsid w:val="00505489"/>
    <w:rsid w:val="00513FB4"/>
    <w:rsid w:val="00531D09"/>
    <w:rsid w:val="00537668"/>
    <w:rsid w:val="005B497B"/>
    <w:rsid w:val="005B4A27"/>
    <w:rsid w:val="005F31DC"/>
    <w:rsid w:val="00610DA0"/>
    <w:rsid w:val="00626C3A"/>
    <w:rsid w:val="00642DEA"/>
    <w:rsid w:val="00646CEC"/>
    <w:rsid w:val="00660E9C"/>
    <w:rsid w:val="00665074"/>
    <w:rsid w:val="00695692"/>
    <w:rsid w:val="006B2C14"/>
    <w:rsid w:val="006B3441"/>
    <w:rsid w:val="006F2325"/>
    <w:rsid w:val="0070083E"/>
    <w:rsid w:val="00702EE7"/>
    <w:rsid w:val="00735085"/>
    <w:rsid w:val="00806471"/>
    <w:rsid w:val="00813D02"/>
    <w:rsid w:val="0082114B"/>
    <w:rsid w:val="008E0F51"/>
    <w:rsid w:val="008F3221"/>
    <w:rsid w:val="008F68AE"/>
    <w:rsid w:val="00953011"/>
    <w:rsid w:val="00A402E3"/>
    <w:rsid w:val="00A41443"/>
    <w:rsid w:val="00A44151"/>
    <w:rsid w:val="00A736BE"/>
    <w:rsid w:val="00A95EDF"/>
    <w:rsid w:val="00AB1DFF"/>
    <w:rsid w:val="00AF0322"/>
    <w:rsid w:val="00B824B5"/>
    <w:rsid w:val="00BC374D"/>
    <w:rsid w:val="00C02E7D"/>
    <w:rsid w:val="00C32D46"/>
    <w:rsid w:val="00CA2BC0"/>
    <w:rsid w:val="00CB29DA"/>
    <w:rsid w:val="00D7020F"/>
    <w:rsid w:val="00DA4508"/>
    <w:rsid w:val="00DC566E"/>
    <w:rsid w:val="00DF0766"/>
    <w:rsid w:val="00E86412"/>
    <w:rsid w:val="00F00186"/>
    <w:rsid w:val="00F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BE30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tion,titre1"/>
    <w:link w:val="NoSpacingChar"/>
    <w:uiPriority w:val="99"/>
    <w:qFormat/>
    <w:rsid w:val="00660E9C"/>
  </w:style>
  <w:style w:type="paragraph" w:styleId="ListParagraph">
    <w:name w:val="List Paragraph"/>
    <w:basedOn w:val="Normal"/>
    <w:uiPriority w:val="99"/>
    <w:qFormat/>
    <w:rsid w:val="00660E9C"/>
    <w:pPr>
      <w:ind w:left="720"/>
      <w:contextualSpacing/>
    </w:pPr>
  </w:style>
  <w:style w:type="character" w:customStyle="1" w:styleId="NoSpacingChar">
    <w:name w:val="No Spacing Char"/>
    <w:aliases w:val="citation Char,titre1 Char"/>
    <w:link w:val="NoSpacing"/>
    <w:uiPriority w:val="99"/>
    <w:locked/>
    <w:rsid w:val="0082114B"/>
    <w:rPr>
      <w:sz w:val="22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itation,titre1"/>
    <w:link w:val="NoSpacingChar"/>
    <w:uiPriority w:val="99"/>
    <w:qFormat/>
    <w:rsid w:val="00660E9C"/>
  </w:style>
  <w:style w:type="paragraph" w:styleId="ListParagraph">
    <w:name w:val="List Paragraph"/>
    <w:basedOn w:val="Normal"/>
    <w:uiPriority w:val="99"/>
    <w:qFormat/>
    <w:rsid w:val="00660E9C"/>
    <w:pPr>
      <w:ind w:left="720"/>
      <w:contextualSpacing/>
    </w:pPr>
  </w:style>
  <w:style w:type="character" w:customStyle="1" w:styleId="NoSpacingChar">
    <w:name w:val="No Spacing Char"/>
    <w:aliases w:val="citation Char,titre1 Char"/>
    <w:link w:val="NoSpacing"/>
    <w:uiPriority w:val="99"/>
    <w:locked/>
    <w:rsid w:val="0082114B"/>
    <w:rPr>
      <w:sz w:val="22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 développement du subjonctif après les verbes de sentiment</vt:lpstr>
      <vt:lpstr>Le développement du subjonctif après les verbes de sentiment</vt:lpstr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développement du subjonctif après les verbes de sentiment</dc:title>
  <dc:creator>dmulder</dc:creator>
  <cp:lastModifiedBy>Adeline Patard</cp:lastModifiedBy>
  <cp:revision>2</cp:revision>
  <cp:lastPrinted>2016-05-09T06:46:00Z</cp:lastPrinted>
  <dcterms:created xsi:type="dcterms:W3CDTF">2016-05-10T06:51:00Z</dcterms:created>
  <dcterms:modified xsi:type="dcterms:W3CDTF">2016-05-10T06:51:00Z</dcterms:modified>
</cp:coreProperties>
</file>